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81CA" w14:textId="77777777" w:rsidR="00FC6997" w:rsidRPr="003D4E9D" w:rsidRDefault="00FC6997" w:rsidP="00FC6997">
      <w:pPr>
        <w:spacing w:line="480" w:lineRule="auto"/>
        <w:rPr>
          <w:rFonts w:asciiTheme="majorBidi" w:hAnsiTheme="majorBidi" w:cstheme="majorBidi"/>
        </w:rPr>
      </w:pPr>
    </w:p>
    <w:p w14:paraId="7A520B5B" w14:textId="77777777" w:rsidR="00FC6997" w:rsidRPr="003D4E9D" w:rsidRDefault="00FC6997" w:rsidP="00FC6997">
      <w:pPr>
        <w:spacing w:line="480" w:lineRule="auto"/>
        <w:rPr>
          <w:rFonts w:asciiTheme="majorBidi" w:hAnsiTheme="majorBidi" w:cstheme="majorBidi"/>
        </w:rPr>
      </w:pPr>
    </w:p>
    <w:p w14:paraId="388A99B8" w14:textId="77777777" w:rsidR="00FC6997" w:rsidRPr="003D4E9D" w:rsidRDefault="00FC6997" w:rsidP="00FC6997">
      <w:pPr>
        <w:spacing w:line="480" w:lineRule="auto"/>
        <w:rPr>
          <w:rFonts w:asciiTheme="majorBidi" w:hAnsiTheme="majorBidi" w:cstheme="majorBidi"/>
        </w:rPr>
      </w:pPr>
    </w:p>
    <w:p w14:paraId="383804D5" w14:textId="77777777" w:rsidR="00FC6997" w:rsidRPr="003D4E9D" w:rsidRDefault="00FC6997" w:rsidP="00FC6997">
      <w:pPr>
        <w:spacing w:line="480" w:lineRule="auto"/>
        <w:rPr>
          <w:rFonts w:asciiTheme="majorBidi" w:hAnsiTheme="majorBidi" w:cstheme="majorBidi"/>
        </w:rPr>
      </w:pPr>
    </w:p>
    <w:p w14:paraId="581E22D0" w14:textId="77777777" w:rsidR="00FC6997" w:rsidRPr="003D4E9D" w:rsidRDefault="00FC6997" w:rsidP="00FC6997">
      <w:pPr>
        <w:spacing w:line="480" w:lineRule="auto"/>
        <w:rPr>
          <w:rFonts w:asciiTheme="majorBidi" w:hAnsiTheme="majorBidi" w:cstheme="majorBidi"/>
        </w:rPr>
      </w:pPr>
    </w:p>
    <w:p w14:paraId="172A71B0" w14:textId="5873AEF8" w:rsidR="00FC6997" w:rsidRPr="003D4E9D" w:rsidRDefault="00FC6997" w:rsidP="00FC6997">
      <w:pPr>
        <w:spacing w:line="480" w:lineRule="auto"/>
        <w:jc w:val="center"/>
        <w:rPr>
          <w:rFonts w:asciiTheme="majorBidi" w:hAnsiTheme="majorBidi" w:cstheme="majorBidi"/>
          <w:b/>
          <w:bCs/>
        </w:rPr>
      </w:pPr>
      <w:r>
        <w:rPr>
          <w:rFonts w:asciiTheme="majorBidi" w:hAnsiTheme="majorBidi" w:cstheme="majorBidi"/>
          <w:b/>
          <w:bCs/>
        </w:rPr>
        <w:t xml:space="preserve">Assignment </w:t>
      </w:r>
      <w:r>
        <w:rPr>
          <w:rFonts w:asciiTheme="majorBidi" w:hAnsiTheme="majorBidi" w:cstheme="majorBidi"/>
          <w:b/>
          <w:bCs/>
        </w:rPr>
        <w:t>3</w:t>
      </w:r>
      <w:r>
        <w:rPr>
          <w:rFonts w:asciiTheme="majorBidi" w:hAnsiTheme="majorBidi" w:cstheme="majorBidi"/>
          <w:b/>
          <w:bCs/>
        </w:rPr>
        <w:t>.1</w:t>
      </w:r>
      <w:r>
        <w:rPr>
          <w:rFonts w:asciiTheme="majorBidi" w:hAnsiTheme="majorBidi" w:cstheme="majorBidi"/>
          <w:b/>
          <w:bCs/>
        </w:rPr>
        <w:t>:</w:t>
      </w:r>
      <w:r>
        <w:rPr>
          <w:rFonts w:asciiTheme="majorBidi" w:hAnsiTheme="majorBidi" w:cstheme="majorBidi"/>
          <w:b/>
          <w:bCs/>
        </w:rPr>
        <w:t xml:space="preserve"> </w:t>
      </w:r>
      <w:r>
        <w:rPr>
          <w:rFonts w:asciiTheme="majorBidi" w:hAnsiTheme="majorBidi" w:cstheme="majorBidi"/>
          <w:b/>
          <w:bCs/>
        </w:rPr>
        <w:t xml:space="preserve">Confidentiality and Duty to Report in Texas </w:t>
      </w:r>
    </w:p>
    <w:p w14:paraId="52582489" w14:textId="77777777" w:rsidR="00FC6997" w:rsidRPr="003D4E9D" w:rsidRDefault="00FC6997" w:rsidP="00FC6997">
      <w:pPr>
        <w:spacing w:line="480" w:lineRule="auto"/>
        <w:jc w:val="center"/>
        <w:rPr>
          <w:rFonts w:asciiTheme="majorBidi" w:hAnsiTheme="majorBidi" w:cstheme="majorBidi"/>
        </w:rPr>
      </w:pPr>
      <w:r w:rsidRPr="003D4E9D">
        <w:rPr>
          <w:rFonts w:asciiTheme="majorBidi" w:hAnsiTheme="majorBidi" w:cstheme="majorBidi"/>
        </w:rPr>
        <w:t>Michael Germany</w:t>
      </w:r>
    </w:p>
    <w:p w14:paraId="1A7E6D12" w14:textId="77777777" w:rsidR="00FC6997" w:rsidRPr="003D4E9D" w:rsidRDefault="00FC6997" w:rsidP="00FC6997">
      <w:pPr>
        <w:spacing w:line="480" w:lineRule="auto"/>
        <w:jc w:val="center"/>
        <w:rPr>
          <w:rFonts w:asciiTheme="majorBidi" w:hAnsiTheme="majorBidi" w:cstheme="majorBidi"/>
        </w:rPr>
      </w:pPr>
      <w:r w:rsidRPr="003D4E9D">
        <w:rPr>
          <w:rFonts w:asciiTheme="majorBidi" w:hAnsiTheme="majorBidi" w:cstheme="majorBidi"/>
        </w:rPr>
        <w:t xml:space="preserve">Dr. </w:t>
      </w:r>
      <w:r>
        <w:rPr>
          <w:rFonts w:asciiTheme="majorBidi" w:hAnsiTheme="majorBidi" w:cstheme="majorBidi"/>
        </w:rPr>
        <w:t>Jamie Crockett</w:t>
      </w:r>
    </w:p>
    <w:p w14:paraId="7F2B0215" w14:textId="77777777" w:rsidR="00FC6997" w:rsidRPr="003D4E9D" w:rsidRDefault="00FC6997" w:rsidP="00FC6997">
      <w:pPr>
        <w:spacing w:line="480" w:lineRule="auto"/>
        <w:jc w:val="center"/>
        <w:rPr>
          <w:rFonts w:asciiTheme="majorBidi" w:hAnsiTheme="majorBidi" w:cstheme="majorBidi"/>
        </w:rPr>
      </w:pPr>
      <w:r w:rsidRPr="003D4E9D">
        <w:rPr>
          <w:rFonts w:asciiTheme="majorBidi" w:hAnsiTheme="majorBidi" w:cstheme="majorBidi"/>
        </w:rPr>
        <w:t>Wake Forest University</w:t>
      </w:r>
    </w:p>
    <w:p w14:paraId="2FFBE8D3" w14:textId="77777777" w:rsidR="00FC6997" w:rsidRPr="003D4E9D" w:rsidRDefault="00FC6997" w:rsidP="00FC6997">
      <w:pPr>
        <w:spacing w:line="480" w:lineRule="auto"/>
        <w:jc w:val="center"/>
        <w:rPr>
          <w:rFonts w:asciiTheme="majorBidi" w:hAnsiTheme="majorBidi" w:cstheme="majorBidi"/>
        </w:rPr>
      </w:pPr>
      <w:r w:rsidRPr="003D4E9D">
        <w:rPr>
          <w:rFonts w:asciiTheme="majorBidi" w:hAnsiTheme="majorBidi" w:cstheme="majorBidi"/>
        </w:rPr>
        <w:t>CNS 7</w:t>
      </w:r>
      <w:r>
        <w:rPr>
          <w:rFonts w:asciiTheme="majorBidi" w:hAnsiTheme="majorBidi" w:cstheme="majorBidi"/>
        </w:rPr>
        <w:t>80</w:t>
      </w:r>
      <w:r w:rsidRPr="003D4E9D">
        <w:rPr>
          <w:rFonts w:asciiTheme="majorBidi" w:hAnsiTheme="majorBidi" w:cstheme="majorBidi"/>
        </w:rPr>
        <w:t xml:space="preserve"> BG</w:t>
      </w:r>
    </w:p>
    <w:p w14:paraId="6E1FB09B" w14:textId="1A981617" w:rsidR="00FC6997" w:rsidRDefault="00FC6997" w:rsidP="00FC6997">
      <w:pPr>
        <w:spacing w:line="480" w:lineRule="auto"/>
        <w:jc w:val="center"/>
        <w:rPr>
          <w:rFonts w:asciiTheme="majorBidi" w:hAnsiTheme="majorBidi" w:cstheme="majorBidi"/>
        </w:rPr>
      </w:pPr>
      <w:r>
        <w:rPr>
          <w:rFonts w:asciiTheme="majorBidi" w:hAnsiTheme="majorBidi" w:cstheme="majorBidi"/>
        </w:rPr>
        <w:t>31</w:t>
      </w:r>
      <w:r w:rsidRPr="003D4E9D">
        <w:rPr>
          <w:rFonts w:asciiTheme="majorBidi" w:hAnsiTheme="majorBidi" w:cstheme="majorBidi"/>
        </w:rPr>
        <w:t xml:space="preserve"> October 2021</w:t>
      </w:r>
    </w:p>
    <w:p w14:paraId="02B0DBC3" w14:textId="55EB6D14" w:rsidR="00FC6997" w:rsidRDefault="00FC6997" w:rsidP="00FC6997">
      <w:pPr>
        <w:spacing w:line="480" w:lineRule="auto"/>
        <w:rPr>
          <w:rFonts w:asciiTheme="majorBidi" w:hAnsiTheme="majorBidi" w:cstheme="majorBidi"/>
        </w:rPr>
      </w:pPr>
    </w:p>
    <w:p w14:paraId="43C47CAC" w14:textId="63EFAC3F" w:rsidR="00FC6997" w:rsidRDefault="00FC6997" w:rsidP="00FC6997">
      <w:pPr>
        <w:spacing w:line="480" w:lineRule="auto"/>
        <w:rPr>
          <w:rFonts w:asciiTheme="majorBidi" w:hAnsiTheme="majorBidi" w:cstheme="majorBidi"/>
        </w:rPr>
      </w:pPr>
    </w:p>
    <w:p w14:paraId="7CAFDDF3" w14:textId="01E2B728" w:rsidR="00FC6997" w:rsidRDefault="00FC6997" w:rsidP="00FC6997">
      <w:pPr>
        <w:spacing w:line="480" w:lineRule="auto"/>
        <w:rPr>
          <w:rFonts w:asciiTheme="majorBidi" w:hAnsiTheme="majorBidi" w:cstheme="majorBidi"/>
        </w:rPr>
      </w:pPr>
    </w:p>
    <w:p w14:paraId="71992104" w14:textId="1A948C18" w:rsidR="00FC6997" w:rsidRDefault="00FC6997" w:rsidP="00FC6997">
      <w:pPr>
        <w:spacing w:line="480" w:lineRule="auto"/>
        <w:rPr>
          <w:rFonts w:asciiTheme="majorBidi" w:hAnsiTheme="majorBidi" w:cstheme="majorBidi"/>
        </w:rPr>
      </w:pPr>
    </w:p>
    <w:p w14:paraId="4FCF4604" w14:textId="5DBDE45D" w:rsidR="00FC6997" w:rsidRDefault="00FC6997" w:rsidP="00FC6997">
      <w:pPr>
        <w:spacing w:line="480" w:lineRule="auto"/>
        <w:rPr>
          <w:rFonts w:asciiTheme="majorBidi" w:hAnsiTheme="majorBidi" w:cstheme="majorBidi"/>
        </w:rPr>
      </w:pPr>
    </w:p>
    <w:p w14:paraId="58EEA69D" w14:textId="567AC547" w:rsidR="00FC6997" w:rsidRDefault="00FC6997" w:rsidP="00FC6997">
      <w:pPr>
        <w:spacing w:line="480" w:lineRule="auto"/>
        <w:rPr>
          <w:rFonts w:asciiTheme="majorBidi" w:hAnsiTheme="majorBidi" w:cstheme="majorBidi"/>
        </w:rPr>
      </w:pPr>
    </w:p>
    <w:p w14:paraId="3EEF1261" w14:textId="74A0E80E" w:rsidR="00FC6997" w:rsidRDefault="00FC6997" w:rsidP="00FC6997">
      <w:pPr>
        <w:spacing w:line="480" w:lineRule="auto"/>
        <w:rPr>
          <w:rFonts w:asciiTheme="majorBidi" w:hAnsiTheme="majorBidi" w:cstheme="majorBidi"/>
        </w:rPr>
      </w:pPr>
    </w:p>
    <w:p w14:paraId="5BF3529A" w14:textId="20B4BEFB" w:rsidR="00FC6997" w:rsidRDefault="00FC6997" w:rsidP="00FC6997">
      <w:pPr>
        <w:spacing w:line="480" w:lineRule="auto"/>
        <w:rPr>
          <w:rFonts w:asciiTheme="majorBidi" w:hAnsiTheme="majorBidi" w:cstheme="majorBidi"/>
        </w:rPr>
      </w:pPr>
    </w:p>
    <w:p w14:paraId="510F5F46" w14:textId="55C6F431" w:rsidR="00FC6997" w:rsidRDefault="00FC6997" w:rsidP="00FC6997">
      <w:pPr>
        <w:spacing w:line="480" w:lineRule="auto"/>
        <w:rPr>
          <w:rFonts w:asciiTheme="majorBidi" w:hAnsiTheme="majorBidi" w:cstheme="majorBidi"/>
        </w:rPr>
      </w:pPr>
    </w:p>
    <w:p w14:paraId="4C92EDFE" w14:textId="3BC0FC38" w:rsidR="00FC6997" w:rsidRDefault="00FC6997" w:rsidP="00FC6997">
      <w:pPr>
        <w:spacing w:line="480" w:lineRule="auto"/>
        <w:rPr>
          <w:rFonts w:asciiTheme="majorBidi" w:hAnsiTheme="majorBidi" w:cstheme="majorBidi"/>
        </w:rPr>
      </w:pPr>
    </w:p>
    <w:p w14:paraId="7598CD1A" w14:textId="020159B5" w:rsidR="00FC6997" w:rsidRDefault="00FC6997" w:rsidP="00FC6997">
      <w:pPr>
        <w:spacing w:line="480" w:lineRule="auto"/>
        <w:rPr>
          <w:rFonts w:asciiTheme="majorBidi" w:hAnsiTheme="majorBidi" w:cstheme="majorBidi"/>
        </w:rPr>
      </w:pPr>
    </w:p>
    <w:p w14:paraId="08DB2097" w14:textId="597DFE4C" w:rsidR="00FC6997" w:rsidRDefault="00FC6997" w:rsidP="00FC6997">
      <w:pPr>
        <w:spacing w:line="480" w:lineRule="auto"/>
        <w:rPr>
          <w:rFonts w:asciiTheme="majorBidi" w:hAnsiTheme="majorBidi" w:cstheme="majorBidi"/>
        </w:rPr>
      </w:pPr>
    </w:p>
    <w:p w14:paraId="51919858" w14:textId="68B41DD0" w:rsidR="00FC6997" w:rsidRDefault="00FC6997" w:rsidP="00FC6997">
      <w:pPr>
        <w:spacing w:line="480" w:lineRule="auto"/>
        <w:jc w:val="center"/>
        <w:rPr>
          <w:rFonts w:asciiTheme="majorBidi" w:hAnsiTheme="majorBidi" w:cstheme="majorBidi"/>
          <w:b/>
          <w:bCs/>
        </w:rPr>
      </w:pPr>
      <w:r>
        <w:rPr>
          <w:rFonts w:asciiTheme="majorBidi" w:hAnsiTheme="majorBidi" w:cstheme="majorBidi"/>
          <w:b/>
          <w:bCs/>
        </w:rPr>
        <w:lastRenderedPageBreak/>
        <w:t>Confidentiality and Duty to Report in Texas</w:t>
      </w:r>
    </w:p>
    <w:p w14:paraId="60E89EBC" w14:textId="1B3E3FF3" w:rsidR="00B51A2D" w:rsidRDefault="00B51A2D" w:rsidP="00B51A2D">
      <w:pPr>
        <w:spacing w:line="480" w:lineRule="auto"/>
        <w:rPr>
          <w:rFonts w:asciiTheme="majorBidi" w:hAnsiTheme="majorBidi" w:cstheme="majorBidi"/>
        </w:rPr>
      </w:pPr>
      <w:r>
        <w:rPr>
          <w:rFonts w:asciiTheme="majorBidi" w:hAnsiTheme="majorBidi" w:cstheme="majorBidi"/>
          <w:b/>
          <w:bCs/>
        </w:rPr>
        <w:tab/>
      </w:r>
      <w:r w:rsidR="005B4025">
        <w:rPr>
          <w:rFonts w:asciiTheme="majorBidi" w:hAnsiTheme="majorBidi" w:cstheme="majorBidi"/>
        </w:rPr>
        <w:t>Many of Texas’ laws surrounding confidentiality and privileged communication reflect standards typical in the counseling profession, establishing strong protections for clients and delineating when those protections must or can be removed</w:t>
      </w:r>
      <w:r w:rsidR="00860B19">
        <w:rPr>
          <w:rFonts w:asciiTheme="majorBidi" w:hAnsiTheme="majorBidi" w:cstheme="majorBidi"/>
        </w:rPr>
        <w:t xml:space="preserve"> within codified legal</w:t>
      </w:r>
      <w:r w:rsidR="005B4025">
        <w:rPr>
          <w:rFonts w:asciiTheme="majorBidi" w:hAnsiTheme="majorBidi" w:cstheme="majorBidi"/>
        </w:rPr>
        <w:t xml:space="preserve"> </w:t>
      </w:r>
      <w:r w:rsidR="00860B19">
        <w:rPr>
          <w:rFonts w:asciiTheme="majorBidi" w:hAnsiTheme="majorBidi" w:cstheme="majorBidi"/>
        </w:rPr>
        <w:t xml:space="preserve">statutes </w:t>
      </w:r>
      <w:r w:rsidR="005B4025">
        <w:rPr>
          <w:rFonts w:asciiTheme="majorBidi" w:hAnsiTheme="majorBidi" w:cstheme="majorBidi"/>
        </w:rPr>
        <w:t>(</w:t>
      </w:r>
      <w:r w:rsidR="00860B19">
        <w:rPr>
          <w:rFonts w:asciiTheme="majorBidi" w:hAnsiTheme="majorBidi" w:cstheme="majorBidi"/>
        </w:rPr>
        <w:t>Remley &amp; Herlihy, 2020</w:t>
      </w:r>
      <w:r w:rsidR="005B4025">
        <w:rPr>
          <w:rFonts w:asciiTheme="majorBidi" w:hAnsiTheme="majorBidi" w:cstheme="majorBidi"/>
        </w:rPr>
        <w:t xml:space="preserve">; </w:t>
      </w:r>
      <w:r w:rsidR="005B4025">
        <w:rPr>
          <w:rFonts w:asciiTheme="majorBidi" w:hAnsiTheme="majorBidi" w:cstheme="majorBidi"/>
        </w:rPr>
        <w:t xml:space="preserve">Texas Health and Safety Code </w:t>
      </w:r>
      <w:r w:rsidR="005B4025" w:rsidRPr="00FC6997">
        <w:rPr>
          <w:rFonts w:asciiTheme="majorBidi" w:hAnsiTheme="majorBidi" w:cstheme="majorBidi"/>
        </w:rPr>
        <w:t>§</w:t>
      </w:r>
      <w:r w:rsidR="005B4025">
        <w:rPr>
          <w:rFonts w:asciiTheme="majorBidi" w:hAnsiTheme="majorBidi" w:cstheme="majorBidi"/>
        </w:rPr>
        <w:t xml:space="preserve"> 161</w:t>
      </w:r>
      <w:r w:rsidR="005B4025">
        <w:rPr>
          <w:rFonts w:asciiTheme="majorBidi" w:hAnsiTheme="majorBidi" w:cstheme="majorBidi"/>
        </w:rPr>
        <w:t>, 2021)</w:t>
      </w:r>
      <w:r w:rsidR="00860B19">
        <w:rPr>
          <w:rFonts w:asciiTheme="majorBidi" w:hAnsiTheme="majorBidi" w:cstheme="majorBidi"/>
        </w:rPr>
        <w:t xml:space="preserve">. One distinction between Texas and other states is that Texas does not mandate a professional’s duty to report suspected or actual </w:t>
      </w:r>
      <w:proofErr w:type="spellStart"/>
      <w:r w:rsidR="00860B19">
        <w:rPr>
          <w:rFonts w:asciiTheme="majorBidi" w:hAnsiTheme="majorBidi" w:cstheme="majorBidi"/>
        </w:rPr>
        <w:t>homicidality</w:t>
      </w:r>
      <w:proofErr w:type="spellEnd"/>
      <w:r w:rsidR="00860B19">
        <w:rPr>
          <w:rFonts w:asciiTheme="majorBidi" w:hAnsiTheme="majorBidi" w:cstheme="majorBidi"/>
        </w:rPr>
        <w:t xml:space="preserve"> or suicidality, refusing to adopt the </w:t>
      </w:r>
      <w:r w:rsidR="00860B19">
        <w:rPr>
          <w:rFonts w:asciiTheme="majorBidi" w:hAnsiTheme="majorBidi" w:cstheme="majorBidi"/>
          <w:i/>
          <w:iCs/>
        </w:rPr>
        <w:t xml:space="preserve">Tarasoff </w:t>
      </w:r>
      <w:r w:rsidR="00860B19">
        <w:rPr>
          <w:rFonts w:asciiTheme="majorBidi" w:hAnsiTheme="majorBidi" w:cstheme="majorBidi"/>
        </w:rPr>
        <w:t xml:space="preserve">precedent as other states have (Cantu &amp; Hopson, 2000). Most notable case law surrounding confidentiality, privileged communication, and duty to report in Texas focuses on this divergence from the </w:t>
      </w:r>
      <w:r w:rsidR="00860B19" w:rsidRPr="00860B19">
        <w:rPr>
          <w:rFonts w:asciiTheme="majorBidi" w:hAnsiTheme="majorBidi" w:cstheme="majorBidi"/>
          <w:i/>
          <w:iCs/>
        </w:rPr>
        <w:t>Tarasoff</w:t>
      </w:r>
      <w:r w:rsidR="00860B19">
        <w:rPr>
          <w:rFonts w:asciiTheme="majorBidi" w:hAnsiTheme="majorBidi" w:cstheme="majorBidi"/>
          <w:i/>
          <w:iCs/>
        </w:rPr>
        <w:t xml:space="preserve"> </w:t>
      </w:r>
      <w:r w:rsidR="00860B19">
        <w:rPr>
          <w:rFonts w:asciiTheme="majorBidi" w:hAnsiTheme="majorBidi" w:cstheme="majorBidi"/>
        </w:rPr>
        <w:t>standard. Likewise, this divergence yields important implications for therapy clients, the public, clinicians, and the various mental health disciplines within Texas.</w:t>
      </w:r>
      <w:r w:rsidR="00EF5371">
        <w:rPr>
          <w:rFonts w:asciiTheme="majorBidi" w:hAnsiTheme="majorBidi" w:cstheme="majorBidi"/>
        </w:rPr>
        <w:t xml:space="preserve"> </w:t>
      </w:r>
    </w:p>
    <w:p w14:paraId="6CF5319E" w14:textId="76639C06" w:rsidR="00AC05AD" w:rsidRPr="00AC05AD" w:rsidRDefault="00AC05AD" w:rsidP="00AC05AD">
      <w:pPr>
        <w:spacing w:line="480" w:lineRule="auto"/>
        <w:jc w:val="center"/>
        <w:rPr>
          <w:rFonts w:asciiTheme="majorBidi" w:hAnsiTheme="majorBidi" w:cstheme="majorBidi"/>
          <w:b/>
          <w:bCs/>
        </w:rPr>
      </w:pPr>
      <w:r>
        <w:rPr>
          <w:rFonts w:asciiTheme="majorBidi" w:hAnsiTheme="majorBidi" w:cstheme="majorBidi"/>
          <w:b/>
          <w:bCs/>
        </w:rPr>
        <w:t>Mandatory and Authorized Reporting</w:t>
      </w:r>
    </w:p>
    <w:p w14:paraId="01923C19" w14:textId="540E5989" w:rsidR="00807EAC" w:rsidRDefault="00EF5371" w:rsidP="00807EAC">
      <w:pPr>
        <w:spacing w:line="480" w:lineRule="auto"/>
        <w:rPr>
          <w:rFonts w:asciiTheme="majorBidi" w:hAnsiTheme="majorBidi" w:cstheme="majorBidi"/>
        </w:rPr>
      </w:pPr>
      <w:r>
        <w:rPr>
          <w:rFonts w:asciiTheme="majorBidi" w:hAnsiTheme="majorBidi" w:cstheme="majorBidi"/>
        </w:rPr>
        <w:tab/>
        <w:t>The privileged communication between a counselor and a client is robustly protected by Texas state law apart from a few exceptions which require or authorize professional counselors to void confidentiality (</w:t>
      </w:r>
      <w:r w:rsidRPr="00FC6997">
        <w:rPr>
          <w:rFonts w:asciiTheme="majorBidi" w:hAnsiTheme="majorBidi" w:cstheme="majorBidi"/>
        </w:rPr>
        <w:t>Texas Administrative Code</w:t>
      </w:r>
      <w:r>
        <w:rPr>
          <w:rFonts w:asciiTheme="majorBidi" w:hAnsiTheme="majorBidi" w:cstheme="majorBidi"/>
        </w:rPr>
        <w:t xml:space="preserve"> </w:t>
      </w:r>
      <w:r w:rsidRPr="00FC6997">
        <w:rPr>
          <w:rFonts w:asciiTheme="majorBidi" w:hAnsiTheme="majorBidi" w:cstheme="majorBidi"/>
        </w:rPr>
        <w:t>§</w:t>
      </w:r>
      <w:r>
        <w:rPr>
          <w:rFonts w:asciiTheme="majorBidi" w:hAnsiTheme="majorBidi" w:cstheme="majorBidi"/>
        </w:rPr>
        <w:t xml:space="preserve"> </w:t>
      </w:r>
      <w:r w:rsidRPr="00FC6997">
        <w:rPr>
          <w:rFonts w:asciiTheme="majorBidi" w:hAnsiTheme="majorBidi" w:cstheme="majorBidi"/>
        </w:rPr>
        <w:t>681</w:t>
      </w:r>
      <w:r>
        <w:rPr>
          <w:rFonts w:asciiTheme="majorBidi" w:hAnsiTheme="majorBidi" w:cstheme="majorBidi"/>
        </w:rPr>
        <w:t xml:space="preserve">, </w:t>
      </w:r>
      <w:r>
        <w:rPr>
          <w:rFonts w:asciiTheme="majorBidi" w:hAnsiTheme="majorBidi" w:cstheme="majorBidi"/>
        </w:rPr>
        <w:t>202</w:t>
      </w:r>
      <w:r w:rsidR="00B92DB2">
        <w:rPr>
          <w:rFonts w:asciiTheme="majorBidi" w:hAnsiTheme="majorBidi" w:cstheme="majorBidi"/>
        </w:rPr>
        <w:t>0</w:t>
      </w:r>
      <w:r>
        <w:rPr>
          <w:rFonts w:asciiTheme="majorBidi" w:hAnsiTheme="majorBidi" w:cstheme="majorBidi"/>
        </w:rPr>
        <w:t xml:space="preserve">; </w:t>
      </w:r>
      <w:r>
        <w:rPr>
          <w:rFonts w:asciiTheme="majorBidi" w:hAnsiTheme="majorBidi" w:cstheme="majorBidi"/>
        </w:rPr>
        <w:t>Texas Health and Safety Code</w:t>
      </w:r>
      <w:r w:rsidRPr="00FC6997">
        <w:rPr>
          <w:rFonts w:asciiTheme="majorBidi" w:hAnsiTheme="majorBidi" w:cstheme="majorBidi"/>
        </w:rPr>
        <w:t xml:space="preserve"> § 611</w:t>
      </w:r>
      <w:r>
        <w:rPr>
          <w:rFonts w:asciiTheme="majorBidi" w:hAnsiTheme="majorBidi" w:cstheme="majorBidi"/>
        </w:rPr>
        <w:t xml:space="preserve">, </w:t>
      </w:r>
      <w:r>
        <w:rPr>
          <w:rFonts w:asciiTheme="majorBidi" w:hAnsiTheme="majorBidi" w:cstheme="majorBidi"/>
        </w:rPr>
        <w:t>2021).</w:t>
      </w:r>
      <w:r>
        <w:rPr>
          <w:rFonts w:asciiTheme="majorBidi" w:hAnsiTheme="majorBidi" w:cstheme="majorBidi"/>
        </w:rPr>
        <w:t xml:space="preserve"> </w:t>
      </w:r>
      <w:r w:rsidR="00B92DB2">
        <w:rPr>
          <w:rFonts w:asciiTheme="majorBidi" w:hAnsiTheme="majorBidi" w:cstheme="majorBidi"/>
        </w:rPr>
        <w:t xml:space="preserve">Texas Administrative Code </w:t>
      </w:r>
      <w:r w:rsidR="00B92DB2" w:rsidRPr="00FC6997">
        <w:rPr>
          <w:rFonts w:asciiTheme="majorBidi" w:hAnsiTheme="majorBidi" w:cstheme="majorBidi"/>
        </w:rPr>
        <w:t>§</w:t>
      </w:r>
      <w:r w:rsidR="00B92DB2">
        <w:rPr>
          <w:rFonts w:asciiTheme="majorBidi" w:hAnsiTheme="majorBidi" w:cstheme="majorBidi"/>
        </w:rPr>
        <w:t xml:space="preserve"> 681 (2020)</w:t>
      </w:r>
      <w:r w:rsidR="00AE6435">
        <w:rPr>
          <w:rFonts w:asciiTheme="majorBidi" w:hAnsiTheme="majorBidi" w:cstheme="majorBidi"/>
        </w:rPr>
        <w:t xml:space="preserve"> notes the situations that void confidentiality by mandating reporting of confidential information, as well as the specific statutes that call for such mandates. Such situations include observing or suspecting abuse, neglect, or exploitation of a minor, elderly person, or disabled person, abuse, neglect, unprofessional conduct, or unethical conduct within a health care facility, sexual exploitation by a fellow mental health clinician, or when mandated reporting is necessitated when working with a sex offender (</w:t>
      </w:r>
      <w:r w:rsidR="00AE6435">
        <w:rPr>
          <w:rFonts w:asciiTheme="majorBidi" w:hAnsiTheme="majorBidi" w:cstheme="majorBidi"/>
        </w:rPr>
        <w:t xml:space="preserve">Texas Administrative Code </w:t>
      </w:r>
      <w:r w:rsidR="00AE6435" w:rsidRPr="00FC6997">
        <w:rPr>
          <w:rFonts w:asciiTheme="majorBidi" w:hAnsiTheme="majorBidi" w:cstheme="majorBidi"/>
        </w:rPr>
        <w:t>§</w:t>
      </w:r>
      <w:r w:rsidR="00AE6435">
        <w:rPr>
          <w:rFonts w:asciiTheme="majorBidi" w:hAnsiTheme="majorBidi" w:cstheme="majorBidi"/>
        </w:rPr>
        <w:t xml:space="preserve"> 681</w:t>
      </w:r>
      <w:r w:rsidR="00AE6435">
        <w:rPr>
          <w:rFonts w:asciiTheme="majorBidi" w:hAnsiTheme="majorBidi" w:cstheme="majorBidi"/>
        </w:rPr>
        <w:t xml:space="preserve">, </w:t>
      </w:r>
      <w:r w:rsidR="00AE6435">
        <w:rPr>
          <w:rFonts w:asciiTheme="majorBidi" w:hAnsiTheme="majorBidi" w:cstheme="majorBidi"/>
        </w:rPr>
        <w:t>2020)</w:t>
      </w:r>
      <w:r w:rsidR="00AE6435">
        <w:rPr>
          <w:rFonts w:asciiTheme="majorBidi" w:hAnsiTheme="majorBidi" w:cstheme="majorBidi"/>
        </w:rPr>
        <w:t xml:space="preserve">. </w:t>
      </w:r>
      <w:r w:rsidR="00AE6435">
        <w:rPr>
          <w:rFonts w:asciiTheme="majorBidi" w:hAnsiTheme="majorBidi" w:cstheme="majorBidi"/>
        </w:rPr>
        <w:t xml:space="preserve">Texas Civil Practice and Remedies Code </w:t>
      </w:r>
      <w:r w:rsidR="00AE6435" w:rsidRPr="00FC6997">
        <w:rPr>
          <w:rFonts w:asciiTheme="majorBidi" w:hAnsiTheme="majorBidi" w:cstheme="majorBidi"/>
        </w:rPr>
        <w:t>§</w:t>
      </w:r>
      <w:r w:rsidR="00AE6435">
        <w:rPr>
          <w:rFonts w:asciiTheme="majorBidi" w:hAnsiTheme="majorBidi" w:cstheme="majorBidi"/>
        </w:rPr>
        <w:t xml:space="preserve"> 81 (2011)</w:t>
      </w:r>
      <w:r w:rsidR="00AE6435">
        <w:rPr>
          <w:rFonts w:asciiTheme="majorBidi" w:hAnsiTheme="majorBidi" w:cstheme="majorBidi"/>
        </w:rPr>
        <w:t xml:space="preserve"> further notes the various mental health professionals</w:t>
      </w:r>
      <w:r w:rsidR="00807EAC">
        <w:rPr>
          <w:rFonts w:asciiTheme="majorBidi" w:hAnsiTheme="majorBidi" w:cstheme="majorBidi"/>
        </w:rPr>
        <w:t xml:space="preserve"> [MHP]</w:t>
      </w:r>
      <w:r w:rsidR="00AE6435">
        <w:rPr>
          <w:rFonts w:asciiTheme="majorBidi" w:hAnsiTheme="majorBidi" w:cstheme="majorBidi"/>
        </w:rPr>
        <w:t xml:space="preserve"> included in the </w:t>
      </w:r>
      <w:r w:rsidR="00AE6435">
        <w:rPr>
          <w:rFonts w:asciiTheme="majorBidi" w:hAnsiTheme="majorBidi" w:cstheme="majorBidi"/>
        </w:rPr>
        <w:lastRenderedPageBreak/>
        <w:t>sexual exploitation mandate (e.g. MFTs, LPCs, physicians, and psychologists, among others), defines sexual exploitation (e.g. sexual intercourse, sexual contact, etc.), mental health services, among other necessary terms, and explains that all mental healthcare providers are mandated to report instances of MHP’s committing sexual exploitation</w:t>
      </w:r>
      <w:r w:rsidR="00231536">
        <w:rPr>
          <w:rFonts w:asciiTheme="majorBidi" w:hAnsiTheme="majorBidi" w:cstheme="majorBidi"/>
        </w:rPr>
        <w:t>, despite any arrangement of privileged communication with the source of this information</w:t>
      </w:r>
      <w:r w:rsidR="00AE6435">
        <w:rPr>
          <w:rFonts w:asciiTheme="majorBidi" w:hAnsiTheme="majorBidi" w:cstheme="majorBidi"/>
        </w:rPr>
        <w:t xml:space="preserve">. </w:t>
      </w:r>
      <w:r w:rsidR="00F7055A">
        <w:rPr>
          <w:rFonts w:asciiTheme="majorBidi" w:hAnsiTheme="majorBidi" w:cstheme="majorBidi"/>
        </w:rPr>
        <w:t xml:space="preserve">Likewise, </w:t>
      </w:r>
      <w:r w:rsidR="00F7055A" w:rsidRPr="00FC6997">
        <w:t>Texas Family Code</w:t>
      </w:r>
      <w:r w:rsidR="00F7055A">
        <w:t xml:space="preserve"> </w:t>
      </w:r>
      <w:r w:rsidR="00F7055A" w:rsidRPr="00FC6997">
        <w:t>§ 261</w:t>
      </w:r>
      <w:r w:rsidR="00F7055A">
        <w:t xml:space="preserve"> (2021)</w:t>
      </w:r>
      <w:r w:rsidR="00F7055A">
        <w:t xml:space="preserve">, notes that clinicians must void confidentiality and privileged communication to report child neglect and/or abuse, including physical, emotional, mental, and sexual abuse, </w:t>
      </w:r>
      <w:r w:rsidR="00A8677D">
        <w:t xml:space="preserve">to the Department of Family and Protective Services </w:t>
      </w:r>
      <w:r w:rsidR="00F7055A">
        <w:t xml:space="preserve">within two days of being notified of the abuse or, otherwise, be held liable for aiding in the abuse. </w:t>
      </w:r>
      <w:r w:rsidR="006D7A3A">
        <w:rPr>
          <w:rFonts w:asciiTheme="majorBidi" w:hAnsiTheme="majorBidi" w:cstheme="majorBidi"/>
        </w:rPr>
        <w:t xml:space="preserve">Texas Human Resources Code </w:t>
      </w:r>
      <w:r w:rsidR="006D7A3A" w:rsidRPr="00FC6997">
        <w:rPr>
          <w:rFonts w:asciiTheme="majorBidi" w:hAnsiTheme="majorBidi" w:cstheme="majorBidi"/>
        </w:rPr>
        <w:t>§</w:t>
      </w:r>
      <w:r w:rsidR="006D7A3A">
        <w:rPr>
          <w:rFonts w:asciiTheme="majorBidi" w:hAnsiTheme="majorBidi" w:cstheme="majorBidi"/>
        </w:rPr>
        <w:t xml:space="preserve"> 48</w:t>
      </w:r>
      <w:r w:rsidR="006D7A3A">
        <w:rPr>
          <w:rFonts w:asciiTheme="majorBidi" w:hAnsiTheme="majorBidi" w:cstheme="majorBidi"/>
        </w:rPr>
        <w:t xml:space="preserve"> (</w:t>
      </w:r>
      <w:r w:rsidR="006D7A3A">
        <w:rPr>
          <w:rFonts w:asciiTheme="majorBidi" w:hAnsiTheme="majorBidi" w:cstheme="majorBidi"/>
        </w:rPr>
        <w:t>2021)</w:t>
      </w:r>
      <w:r w:rsidR="006D7A3A">
        <w:rPr>
          <w:rFonts w:asciiTheme="majorBidi" w:hAnsiTheme="majorBidi" w:cstheme="majorBidi"/>
        </w:rPr>
        <w:t xml:space="preserve"> and </w:t>
      </w:r>
      <w:r w:rsidR="006D7A3A">
        <w:rPr>
          <w:rFonts w:asciiTheme="majorBidi" w:hAnsiTheme="majorBidi" w:cstheme="majorBidi"/>
        </w:rPr>
        <w:t xml:space="preserve">Texas Health and Safety Code </w:t>
      </w:r>
      <w:r w:rsidR="006D7A3A" w:rsidRPr="00FC6997">
        <w:rPr>
          <w:rFonts w:asciiTheme="majorBidi" w:hAnsiTheme="majorBidi" w:cstheme="majorBidi"/>
        </w:rPr>
        <w:t>§</w:t>
      </w:r>
      <w:r w:rsidR="006D7A3A">
        <w:rPr>
          <w:rFonts w:asciiTheme="majorBidi" w:hAnsiTheme="majorBidi" w:cstheme="majorBidi"/>
        </w:rPr>
        <w:t xml:space="preserve"> 161</w:t>
      </w:r>
      <w:r w:rsidR="006D7A3A">
        <w:rPr>
          <w:rFonts w:asciiTheme="majorBidi" w:hAnsiTheme="majorBidi" w:cstheme="majorBidi"/>
        </w:rPr>
        <w:t xml:space="preserve"> (</w:t>
      </w:r>
      <w:r w:rsidR="006D7A3A">
        <w:rPr>
          <w:rFonts w:asciiTheme="majorBidi" w:hAnsiTheme="majorBidi" w:cstheme="majorBidi"/>
        </w:rPr>
        <w:t>2021)</w:t>
      </w:r>
      <w:r w:rsidR="006D7A3A">
        <w:rPr>
          <w:rFonts w:asciiTheme="majorBidi" w:hAnsiTheme="majorBidi" w:cstheme="majorBidi"/>
        </w:rPr>
        <w:t xml:space="preserve"> outline the mandate</w:t>
      </w:r>
      <w:r w:rsidR="00752296">
        <w:rPr>
          <w:rFonts w:asciiTheme="majorBidi" w:hAnsiTheme="majorBidi" w:cstheme="majorBidi"/>
        </w:rPr>
        <w:t>s</w:t>
      </w:r>
      <w:r w:rsidR="006D7A3A">
        <w:rPr>
          <w:rFonts w:asciiTheme="majorBidi" w:hAnsiTheme="majorBidi" w:cstheme="majorBidi"/>
        </w:rPr>
        <w:t xml:space="preserve"> to report</w:t>
      </w:r>
      <w:r w:rsidR="00CA39E1">
        <w:rPr>
          <w:rFonts w:asciiTheme="majorBidi" w:hAnsiTheme="majorBidi" w:cstheme="majorBidi"/>
        </w:rPr>
        <w:t xml:space="preserve"> </w:t>
      </w:r>
      <w:r w:rsidR="006D7A3A">
        <w:rPr>
          <w:rFonts w:asciiTheme="majorBidi" w:hAnsiTheme="majorBidi" w:cstheme="majorBidi"/>
        </w:rPr>
        <w:t>cases of elder abuse, neglect, and exploitation</w:t>
      </w:r>
      <w:r w:rsidR="003268C7">
        <w:rPr>
          <w:rFonts w:asciiTheme="majorBidi" w:hAnsiTheme="majorBidi" w:cstheme="majorBidi"/>
        </w:rPr>
        <w:t xml:space="preserve"> to </w:t>
      </w:r>
      <w:r w:rsidR="003268C7">
        <w:t>the Department of Family and Protective Services</w:t>
      </w:r>
      <w:r w:rsidR="006D7A3A">
        <w:rPr>
          <w:rFonts w:asciiTheme="majorBidi" w:hAnsiTheme="majorBidi" w:cstheme="majorBidi"/>
        </w:rPr>
        <w:t xml:space="preserve"> and</w:t>
      </w:r>
      <w:r w:rsidR="00806406">
        <w:rPr>
          <w:rFonts w:asciiTheme="majorBidi" w:hAnsiTheme="majorBidi" w:cstheme="majorBidi"/>
        </w:rPr>
        <w:t xml:space="preserve"> to report</w:t>
      </w:r>
      <w:r w:rsidR="006D7A3A">
        <w:rPr>
          <w:rFonts w:asciiTheme="majorBidi" w:hAnsiTheme="majorBidi" w:cstheme="majorBidi"/>
        </w:rPr>
        <w:t xml:space="preserve"> abuse and unethical behavior in health care facilities</w:t>
      </w:r>
      <w:r w:rsidR="003268C7">
        <w:rPr>
          <w:rFonts w:asciiTheme="majorBidi" w:hAnsiTheme="majorBidi" w:cstheme="majorBidi"/>
        </w:rPr>
        <w:t xml:space="preserve"> to the Department of Health and Human Services</w:t>
      </w:r>
      <w:r w:rsidR="006D7A3A">
        <w:rPr>
          <w:rFonts w:asciiTheme="majorBidi" w:hAnsiTheme="majorBidi" w:cstheme="majorBidi"/>
        </w:rPr>
        <w:t xml:space="preserve">, respectively. </w:t>
      </w:r>
      <w:r w:rsidR="00807EAC">
        <w:rPr>
          <w:rFonts w:asciiTheme="majorBidi" w:hAnsiTheme="majorBidi" w:cstheme="majorBidi"/>
        </w:rPr>
        <w:t xml:space="preserve">Finally, </w:t>
      </w:r>
      <w:r w:rsidR="00807EAC">
        <w:rPr>
          <w:rFonts w:asciiTheme="majorBidi" w:hAnsiTheme="majorBidi" w:cstheme="majorBidi"/>
        </w:rPr>
        <w:t xml:space="preserve">Texas Occupations Code </w:t>
      </w:r>
      <w:r w:rsidR="00807EAC" w:rsidRPr="00FC6997">
        <w:rPr>
          <w:rFonts w:asciiTheme="majorBidi" w:hAnsiTheme="majorBidi" w:cstheme="majorBidi"/>
        </w:rPr>
        <w:t>§</w:t>
      </w:r>
      <w:r w:rsidR="00807EAC">
        <w:rPr>
          <w:rFonts w:asciiTheme="majorBidi" w:hAnsiTheme="majorBidi" w:cstheme="majorBidi"/>
        </w:rPr>
        <w:t xml:space="preserve"> 109 (2019)</w:t>
      </w:r>
      <w:r w:rsidR="00807EAC">
        <w:rPr>
          <w:rFonts w:asciiTheme="majorBidi" w:hAnsiTheme="majorBidi" w:cstheme="majorBidi"/>
        </w:rPr>
        <w:t xml:space="preserve"> states that MHPs must submit information about the treatment of sex offenders to law enforcement or other MHPs upon request. </w:t>
      </w:r>
    </w:p>
    <w:p w14:paraId="38AFA3C1" w14:textId="6B23F8E8" w:rsidR="003F6B69" w:rsidRDefault="00807EAC" w:rsidP="003F6B69">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Texas Health and Safety Code</w:t>
      </w:r>
      <w:r w:rsidRPr="00FC6997">
        <w:rPr>
          <w:rFonts w:asciiTheme="majorBidi" w:hAnsiTheme="majorBidi" w:cstheme="majorBidi"/>
        </w:rPr>
        <w:t xml:space="preserve"> § 611</w:t>
      </w:r>
      <w:r>
        <w:rPr>
          <w:rFonts w:asciiTheme="majorBidi" w:hAnsiTheme="majorBidi" w:cstheme="majorBidi"/>
        </w:rPr>
        <w:t xml:space="preserve"> (2021)</w:t>
      </w:r>
      <w:r>
        <w:rPr>
          <w:rFonts w:asciiTheme="majorBidi" w:hAnsiTheme="majorBidi" w:cstheme="majorBidi"/>
        </w:rPr>
        <w:t xml:space="preserve"> notes the instances in which MHPs may breach confidentiality </w:t>
      </w:r>
      <w:r w:rsidR="003F6B69">
        <w:rPr>
          <w:rFonts w:asciiTheme="majorBidi" w:hAnsiTheme="majorBidi" w:cstheme="majorBidi"/>
        </w:rPr>
        <w:t xml:space="preserve">with or </w:t>
      </w:r>
      <w:r>
        <w:rPr>
          <w:rFonts w:asciiTheme="majorBidi" w:hAnsiTheme="majorBidi" w:cstheme="majorBidi"/>
        </w:rPr>
        <w:t>without being mandated to do so.</w:t>
      </w:r>
      <w:r w:rsidR="003F6B69">
        <w:rPr>
          <w:rFonts w:asciiTheme="majorBidi" w:hAnsiTheme="majorBidi" w:cstheme="majorBidi"/>
        </w:rPr>
        <w:t xml:space="preserve"> In judicial settings, MHPs may release information when acting as a defendant in a legal battle with a client, when providing a court-order</w:t>
      </w:r>
      <w:r w:rsidR="00752296">
        <w:rPr>
          <w:rFonts w:asciiTheme="majorBidi" w:hAnsiTheme="majorBidi" w:cstheme="majorBidi"/>
        </w:rPr>
        <w:t>ed mental health</w:t>
      </w:r>
      <w:r w:rsidR="003F6B69">
        <w:rPr>
          <w:rFonts w:asciiTheme="majorBidi" w:hAnsiTheme="majorBidi" w:cstheme="majorBidi"/>
        </w:rPr>
        <w:t xml:space="preserve"> examination, in cases involving the parent-child relationship, when a client or their representative waives confidentiality in writing, during an involuntary commitment of the client, when subpoenaed, or in any criminal case involving the client (</w:t>
      </w:r>
      <w:r w:rsidR="003F6B69">
        <w:rPr>
          <w:rFonts w:asciiTheme="majorBidi" w:hAnsiTheme="majorBidi" w:cstheme="majorBidi"/>
        </w:rPr>
        <w:t>Texas Health and Safety Code</w:t>
      </w:r>
      <w:r w:rsidR="003F6B69" w:rsidRPr="00FC6997">
        <w:rPr>
          <w:rFonts w:asciiTheme="majorBidi" w:hAnsiTheme="majorBidi" w:cstheme="majorBidi"/>
        </w:rPr>
        <w:t xml:space="preserve"> § 611</w:t>
      </w:r>
      <w:r w:rsidR="003F6B69">
        <w:rPr>
          <w:rFonts w:asciiTheme="majorBidi" w:hAnsiTheme="majorBidi" w:cstheme="majorBidi"/>
        </w:rPr>
        <w:t xml:space="preserve">, </w:t>
      </w:r>
      <w:r w:rsidR="003F6B69">
        <w:rPr>
          <w:rFonts w:asciiTheme="majorBidi" w:hAnsiTheme="majorBidi" w:cstheme="majorBidi"/>
        </w:rPr>
        <w:t>2021).</w:t>
      </w:r>
      <w:r w:rsidR="003F6B69">
        <w:rPr>
          <w:rFonts w:asciiTheme="majorBidi" w:hAnsiTheme="majorBidi" w:cstheme="majorBidi"/>
        </w:rPr>
        <w:t xml:space="preserve"> MHPs may also release confidential information when they are mandated to report</w:t>
      </w:r>
      <w:r w:rsidR="00752296">
        <w:rPr>
          <w:rFonts w:asciiTheme="majorBidi" w:hAnsiTheme="majorBidi" w:cstheme="majorBidi"/>
        </w:rPr>
        <w:t>,</w:t>
      </w:r>
      <w:r w:rsidR="003F6B69">
        <w:rPr>
          <w:rFonts w:asciiTheme="majorBidi" w:hAnsiTheme="majorBidi" w:cstheme="majorBidi"/>
        </w:rPr>
        <w:t xml:space="preserve"> when there is written permission from the client to release information, to </w:t>
      </w:r>
      <w:r w:rsidR="003F6B69">
        <w:rPr>
          <w:rFonts w:asciiTheme="majorBidi" w:hAnsiTheme="majorBidi" w:cstheme="majorBidi"/>
        </w:rPr>
        <w:lastRenderedPageBreak/>
        <w:t>facilitate billing of services, financial audits, and program evaluations, to a deceased client’s personal representative, to correctional facility personnel in order to provide the client with services, to meet a request for the medical records of a deceased or incompetent client</w:t>
      </w:r>
      <w:r w:rsidR="00752296">
        <w:rPr>
          <w:rFonts w:asciiTheme="majorBidi" w:hAnsiTheme="majorBidi" w:cstheme="majorBidi"/>
        </w:rPr>
        <w:t>,</w:t>
      </w:r>
      <w:r w:rsidR="003F6B69">
        <w:rPr>
          <w:rFonts w:asciiTheme="majorBidi" w:hAnsiTheme="majorBidi" w:cstheme="majorBidi"/>
        </w:rPr>
        <w:t xml:space="preserve"> to other MHPs or employees within their practice who aid in treatment or case management, and to mental health, medical, or </w:t>
      </w:r>
      <w:r w:rsidR="00752296">
        <w:rPr>
          <w:rFonts w:asciiTheme="majorBidi" w:hAnsiTheme="majorBidi" w:cstheme="majorBidi"/>
        </w:rPr>
        <w:t xml:space="preserve">to </w:t>
      </w:r>
      <w:r w:rsidR="003F6B69">
        <w:rPr>
          <w:rFonts w:asciiTheme="majorBidi" w:hAnsiTheme="majorBidi" w:cstheme="majorBidi"/>
        </w:rPr>
        <w:t xml:space="preserve">law enforcement personnel when a client expresses an intent of imminent violence or suicide or if a client is facing an actual or suspected </w:t>
      </w:r>
      <w:r w:rsidR="00752296">
        <w:rPr>
          <w:rFonts w:asciiTheme="majorBidi" w:hAnsiTheme="majorBidi" w:cstheme="majorBidi"/>
        </w:rPr>
        <w:t xml:space="preserve">impending </w:t>
      </w:r>
      <w:r w:rsidR="003F6B69">
        <w:rPr>
          <w:rFonts w:asciiTheme="majorBidi" w:hAnsiTheme="majorBidi" w:cstheme="majorBidi"/>
        </w:rPr>
        <w:t>mental or emotional injury (</w:t>
      </w:r>
      <w:r w:rsidR="003F6B69">
        <w:rPr>
          <w:rFonts w:asciiTheme="majorBidi" w:hAnsiTheme="majorBidi" w:cstheme="majorBidi"/>
        </w:rPr>
        <w:t>Texas Health and Safety Code</w:t>
      </w:r>
      <w:r w:rsidR="003F6B69" w:rsidRPr="00FC6997">
        <w:rPr>
          <w:rFonts w:asciiTheme="majorBidi" w:hAnsiTheme="majorBidi" w:cstheme="majorBidi"/>
        </w:rPr>
        <w:t xml:space="preserve"> § 611</w:t>
      </w:r>
      <w:r w:rsidR="003F6B69">
        <w:rPr>
          <w:rFonts w:asciiTheme="majorBidi" w:hAnsiTheme="majorBidi" w:cstheme="majorBidi"/>
        </w:rPr>
        <w:t xml:space="preserve">, </w:t>
      </w:r>
      <w:r w:rsidR="003F6B69">
        <w:rPr>
          <w:rFonts w:asciiTheme="majorBidi" w:hAnsiTheme="majorBidi" w:cstheme="majorBidi"/>
        </w:rPr>
        <w:t>2021).</w:t>
      </w:r>
      <w:r w:rsidR="003F6B69">
        <w:rPr>
          <w:rFonts w:asciiTheme="majorBidi" w:hAnsiTheme="majorBidi" w:cstheme="majorBidi"/>
        </w:rPr>
        <w:t xml:space="preserve"> Emotional and mental injury are not defined in this last point. Likewise, this point does not allow for counselors to contact potential victims or the support system of imminently suicidal clients. Furthermore, immunity from liability in the event of such authorized but not mandated disclosures is never mentioned in </w:t>
      </w:r>
      <w:r w:rsidR="003F6B69">
        <w:rPr>
          <w:rFonts w:asciiTheme="majorBidi" w:hAnsiTheme="majorBidi" w:cstheme="majorBidi"/>
        </w:rPr>
        <w:t>Texas Health and Safety Code</w:t>
      </w:r>
      <w:r w:rsidR="003F6B69" w:rsidRPr="00FC6997">
        <w:rPr>
          <w:rFonts w:asciiTheme="majorBidi" w:hAnsiTheme="majorBidi" w:cstheme="majorBidi"/>
        </w:rPr>
        <w:t xml:space="preserve"> § 611</w:t>
      </w:r>
      <w:r w:rsidR="003F6B69">
        <w:rPr>
          <w:rFonts w:asciiTheme="majorBidi" w:hAnsiTheme="majorBidi" w:cstheme="majorBidi"/>
        </w:rPr>
        <w:t xml:space="preserve"> </w:t>
      </w:r>
      <w:r w:rsidR="003F6B69">
        <w:rPr>
          <w:rFonts w:asciiTheme="majorBidi" w:hAnsiTheme="majorBidi" w:cstheme="majorBidi"/>
        </w:rPr>
        <w:t>(2021).</w:t>
      </w:r>
    </w:p>
    <w:p w14:paraId="3E917949" w14:textId="16E849B0" w:rsidR="00AC05AD" w:rsidRPr="00AC05AD" w:rsidRDefault="00AC05AD" w:rsidP="00AC05AD">
      <w:pPr>
        <w:spacing w:line="480" w:lineRule="auto"/>
        <w:jc w:val="center"/>
        <w:rPr>
          <w:rFonts w:asciiTheme="majorBidi" w:hAnsiTheme="majorBidi" w:cstheme="majorBidi"/>
          <w:b/>
          <w:bCs/>
        </w:rPr>
      </w:pPr>
      <w:r>
        <w:rPr>
          <w:rFonts w:asciiTheme="majorBidi" w:hAnsiTheme="majorBidi" w:cstheme="majorBidi"/>
          <w:b/>
          <w:bCs/>
        </w:rPr>
        <w:t>Case Law &amp; Duty to Warn</w:t>
      </w:r>
    </w:p>
    <w:p w14:paraId="7BF45A15" w14:textId="4466439A" w:rsidR="003F6B69" w:rsidRPr="006B6BD1" w:rsidRDefault="003F6B69" w:rsidP="003F6B69">
      <w:pPr>
        <w:spacing w:line="480" w:lineRule="auto"/>
        <w:rPr>
          <w:rFonts w:asciiTheme="majorBidi" w:hAnsiTheme="majorBidi" w:cstheme="majorBidi"/>
        </w:rPr>
      </w:pPr>
      <w:r>
        <w:rPr>
          <w:rFonts w:asciiTheme="majorBidi" w:hAnsiTheme="majorBidi" w:cstheme="majorBidi"/>
        </w:rPr>
        <w:tab/>
      </w:r>
      <w:r w:rsidR="006B6BD1">
        <w:rPr>
          <w:rFonts w:asciiTheme="majorBidi" w:hAnsiTheme="majorBidi" w:cstheme="majorBidi"/>
        </w:rPr>
        <w:t>Much of the</w:t>
      </w:r>
      <w:r>
        <w:rPr>
          <w:rFonts w:asciiTheme="majorBidi" w:hAnsiTheme="majorBidi" w:cstheme="majorBidi"/>
        </w:rPr>
        <w:t xml:space="preserve"> case law surrounding the limits of confidentiality and </w:t>
      </w:r>
      <w:r w:rsidR="006B6BD1">
        <w:rPr>
          <w:rFonts w:asciiTheme="majorBidi" w:hAnsiTheme="majorBidi" w:cstheme="majorBidi"/>
        </w:rPr>
        <w:t xml:space="preserve">privileged communication in Texas focuses on MHPs lack of a duty to warn/protect mandate or the ability to contact potential victims of a client or the family members of an imminently suicidal client. </w:t>
      </w:r>
    </w:p>
    <w:p w14:paraId="6C258C8C" w14:textId="1262C883" w:rsidR="003F6B69" w:rsidRDefault="006B6BD1" w:rsidP="003F6B69">
      <w:pPr>
        <w:spacing w:line="480" w:lineRule="auto"/>
        <w:rPr>
          <w:rFonts w:asciiTheme="majorBidi" w:hAnsiTheme="majorBidi" w:cstheme="majorBidi"/>
        </w:rPr>
      </w:pPr>
      <w:r w:rsidRPr="006B6BD1">
        <w:rPr>
          <w:rFonts w:asciiTheme="majorBidi" w:hAnsiTheme="majorBidi" w:cstheme="majorBidi"/>
          <w:i/>
          <w:iCs/>
        </w:rPr>
        <w:t>Kerrville State Hospital v. Clark</w:t>
      </w:r>
      <w:r>
        <w:rPr>
          <w:rFonts w:asciiTheme="majorBidi" w:hAnsiTheme="majorBidi" w:cstheme="majorBidi"/>
        </w:rPr>
        <w:t xml:space="preserve"> (1998) demonstrated the need for a duty to warn precedent after a patient at a mental hospital, initially admitted involuntarily for </w:t>
      </w:r>
      <w:proofErr w:type="spellStart"/>
      <w:r>
        <w:rPr>
          <w:rFonts w:asciiTheme="majorBidi" w:hAnsiTheme="majorBidi" w:cstheme="majorBidi"/>
        </w:rPr>
        <w:t>homicidality</w:t>
      </w:r>
      <w:proofErr w:type="spellEnd"/>
      <w:r>
        <w:rPr>
          <w:rFonts w:asciiTheme="majorBidi" w:hAnsiTheme="majorBidi" w:cstheme="majorBidi"/>
        </w:rPr>
        <w:t xml:space="preserve"> and later readmitted voluntarily for the same, left his voluntary stay at the hospital and murdered his wife, the identified target from his initial institutionalization. However, the judge</w:t>
      </w:r>
      <w:r w:rsidR="00752296">
        <w:rPr>
          <w:rFonts w:asciiTheme="majorBidi" w:hAnsiTheme="majorBidi" w:cstheme="majorBidi"/>
        </w:rPr>
        <w:t>’s ruling</w:t>
      </w:r>
      <w:r>
        <w:rPr>
          <w:rFonts w:asciiTheme="majorBidi" w:hAnsiTheme="majorBidi" w:cstheme="majorBidi"/>
        </w:rPr>
        <w:t xml:space="preserve"> came short of mandating or allowing clinicians to warn potential victims despite alluding</w:t>
      </w:r>
      <w:r w:rsidR="00752296">
        <w:rPr>
          <w:rFonts w:asciiTheme="majorBidi" w:hAnsiTheme="majorBidi" w:cstheme="majorBidi"/>
        </w:rPr>
        <w:t xml:space="preserve"> to</w:t>
      </w:r>
      <w:r>
        <w:rPr>
          <w:rFonts w:asciiTheme="majorBidi" w:hAnsiTheme="majorBidi" w:cstheme="majorBidi"/>
        </w:rPr>
        <w:t xml:space="preserve"> the </w:t>
      </w:r>
      <w:r w:rsidR="00752296">
        <w:rPr>
          <w:rFonts w:asciiTheme="majorBidi" w:hAnsiTheme="majorBidi" w:cstheme="majorBidi"/>
        </w:rPr>
        <w:t>potential impact</w:t>
      </w:r>
      <w:r>
        <w:rPr>
          <w:rFonts w:asciiTheme="majorBidi" w:hAnsiTheme="majorBidi" w:cstheme="majorBidi"/>
        </w:rPr>
        <w:t xml:space="preserve"> of such a ruling, instead </w:t>
      </w:r>
      <w:r w:rsidR="00752296">
        <w:rPr>
          <w:rFonts w:asciiTheme="majorBidi" w:hAnsiTheme="majorBidi" w:cstheme="majorBidi"/>
        </w:rPr>
        <w:t>determining</w:t>
      </w:r>
      <w:r>
        <w:rPr>
          <w:rFonts w:asciiTheme="majorBidi" w:hAnsiTheme="majorBidi" w:cstheme="majorBidi"/>
        </w:rPr>
        <w:t xml:space="preserve"> that the hospital should have further detained the patient (</w:t>
      </w:r>
      <w:r w:rsidRPr="006B6BD1">
        <w:rPr>
          <w:rStyle w:val="serif"/>
          <w:i/>
          <w:iCs/>
        </w:rPr>
        <w:t>Kerrville State Hospital v. Clark</w:t>
      </w:r>
      <w:r>
        <w:rPr>
          <w:rStyle w:val="serif"/>
        </w:rPr>
        <w:t xml:space="preserve">, 1998). In </w:t>
      </w:r>
      <w:proofErr w:type="spellStart"/>
      <w:r>
        <w:rPr>
          <w:rStyle w:val="serif"/>
          <w:i/>
          <w:iCs/>
        </w:rPr>
        <w:t>Zezulka</w:t>
      </w:r>
      <w:proofErr w:type="spellEnd"/>
      <w:r>
        <w:rPr>
          <w:rStyle w:val="serif"/>
          <w:i/>
          <w:iCs/>
        </w:rPr>
        <w:t xml:space="preserve"> v. Thapar </w:t>
      </w:r>
      <w:r>
        <w:rPr>
          <w:rStyle w:val="serif"/>
        </w:rPr>
        <w:t>(1997), another hospital released a patient</w:t>
      </w:r>
      <w:r w:rsidR="00752296">
        <w:rPr>
          <w:rStyle w:val="serif"/>
        </w:rPr>
        <w:t>,</w:t>
      </w:r>
      <w:r>
        <w:rPr>
          <w:rStyle w:val="serif"/>
        </w:rPr>
        <w:t xml:space="preserve"> knowing that he had a persistent desire to murder his stepfather</w:t>
      </w:r>
      <w:r w:rsidR="00752296">
        <w:rPr>
          <w:rStyle w:val="serif"/>
        </w:rPr>
        <w:t>,</w:t>
      </w:r>
      <w:r>
        <w:rPr>
          <w:rStyle w:val="serif"/>
        </w:rPr>
        <w:t xml:space="preserve"> without </w:t>
      </w:r>
      <w:r>
        <w:rPr>
          <w:rStyle w:val="serif"/>
        </w:rPr>
        <w:lastRenderedPageBreak/>
        <w:t xml:space="preserve">warning the stepfather of this danger. In response to a suit filed against the therapist for failing to warn, the court again alluded to the need for a duty to warn precedent, noting the </w:t>
      </w:r>
      <w:r>
        <w:rPr>
          <w:rStyle w:val="serif"/>
          <w:i/>
          <w:iCs/>
        </w:rPr>
        <w:t xml:space="preserve">Tarasoff </w:t>
      </w:r>
      <w:r>
        <w:rPr>
          <w:rStyle w:val="serif"/>
        </w:rPr>
        <w:t>case, but came short of setting the precedent in a Texas court and instead simply removed clinician immunity from civil wrongful death suits</w:t>
      </w:r>
      <w:r w:rsidR="00752296">
        <w:rPr>
          <w:rStyle w:val="serif"/>
        </w:rPr>
        <w:t xml:space="preserve"> stemming from such cases </w:t>
      </w:r>
      <w:r>
        <w:rPr>
          <w:rStyle w:val="serif"/>
        </w:rPr>
        <w:t>(</w:t>
      </w:r>
      <w:proofErr w:type="spellStart"/>
      <w:r w:rsidRPr="00FC6997">
        <w:rPr>
          <w:rFonts w:asciiTheme="majorBidi" w:hAnsiTheme="majorBidi" w:cstheme="majorBidi"/>
          <w:i/>
          <w:iCs/>
        </w:rPr>
        <w:t>Zezulka</w:t>
      </w:r>
      <w:proofErr w:type="spellEnd"/>
      <w:r w:rsidRPr="00FC6997">
        <w:rPr>
          <w:rFonts w:asciiTheme="majorBidi" w:hAnsiTheme="majorBidi" w:cstheme="majorBidi"/>
          <w:i/>
          <w:iCs/>
        </w:rPr>
        <w:t xml:space="preserve"> v. Thapar</w:t>
      </w:r>
      <w:r w:rsidRPr="006B6BD1">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 xml:space="preserve">1997). This case was then overturned in </w:t>
      </w:r>
      <w:r>
        <w:rPr>
          <w:rFonts w:asciiTheme="majorBidi" w:hAnsiTheme="majorBidi" w:cstheme="majorBidi"/>
          <w:i/>
          <w:iCs/>
        </w:rPr>
        <w:t xml:space="preserve">Thapar v. </w:t>
      </w:r>
      <w:proofErr w:type="spellStart"/>
      <w:r>
        <w:rPr>
          <w:rFonts w:asciiTheme="majorBidi" w:hAnsiTheme="majorBidi" w:cstheme="majorBidi"/>
          <w:i/>
          <w:iCs/>
        </w:rPr>
        <w:t>Zezulka</w:t>
      </w:r>
      <w:proofErr w:type="spellEnd"/>
      <w:r>
        <w:rPr>
          <w:rFonts w:asciiTheme="majorBidi" w:hAnsiTheme="majorBidi" w:cstheme="majorBidi"/>
          <w:i/>
          <w:iCs/>
        </w:rPr>
        <w:t xml:space="preserve"> </w:t>
      </w:r>
      <w:r>
        <w:rPr>
          <w:rFonts w:asciiTheme="majorBidi" w:hAnsiTheme="majorBidi" w:cstheme="majorBidi"/>
        </w:rPr>
        <w:t>(1999) when the court decided to restore clinician liability protection in civil wrongful death cases</w:t>
      </w:r>
      <w:r w:rsidR="00752296">
        <w:rPr>
          <w:rFonts w:asciiTheme="majorBidi" w:hAnsiTheme="majorBidi" w:cstheme="majorBidi"/>
        </w:rPr>
        <w:t xml:space="preserve"> related to a clinician’s failure to report a threat to a potential victim </w:t>
      </w:r>
      <w:r>
        <w:rPr>
          <w:rFonts w:asciiTheme="majorBidi" w:hAnsiTheme="majorBidi" w:cstheme="majorBidi"/>
        </w:rPr>
        <w:t>and state</w:t>
      </w:r>
      <w:r w:rsidR="00752296">
        <w:rPr>
          <w:rFonts w:asciiTheme="majorBidi" w:hAnsiTheme="majorBidi" w:cstheme="majorBidi"/>
        </w:rPr>
        <w:t>d</w:t>
      </w:r>
      <w:r>
        <w:rPr>
          <w:rFonts w:asciiTheme="majorBidi" w:hAnsiTheme="majorBidi" w:cstheme="majorBidi"/>
        </w:rPr>
        <w:t xml:space="preserve"> that clinicians have no duty to warn. The law in Texas has remained the same since the passing of these cases: clinicians in Texas have no duty nor ability to warn potential victims or those close to imminently suicidal clients. </w:t>
      </w:r>
    </w:p>
    <w:p w14:paraId="6717CFB8" w14:textId="0E46E7CB" w:rsidR="00AC05AD" w:rsidRDefault="0057333D" w:rsidP="0057333D">
      <w:pPr>
        <w:spacing w:line="480" w:lineRule="auto"/>
        <w:jc w:val="center"/>
        <w:rPr>
          <w:rFonts w:asciiTheme="majorBidi" w:hAnsiTheme="majorBidi" w:cstheme="majorBidi"/>
          <w:b/>
          <w:bCs/>
        </w:rPr>
      </w:pPr>
      <w:r>
        <w:rPr>
          <w:rFonts w:asciiTheme="majorBidi" w:hAnsiTheme="majorBidi" w:cstheme="majorBidi"/>
          <w:b/>
          <w:bCs/>
        </w:rPr>
        <w:t>Discussion</w:t>
      </w:r>
    </w:p>
    <w:p w14:paraId="76EB9DA9" w14:textId="4D610BA5" w:rsidR="0057333D" w:rsidRDefault="0057333D" w:rsidP="0057333D">
      <w:pPr>
        <w:spacing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As a citizen of Texas, it is difficult to accept that the state’s courts will not follow the widely accepted </w:t>
      </w:r>
      <w:r>
        <w:rPr>
          <w:rFonts w:asciiTheme="majorBidi" w:hAnsiTheme="majorBidi" w:cstheme="majorBidi"/>
          <w:i/>
          <w:iCs/>
        </w:rPr>
        <w:t xml:space="preserve">Tarasoff </w:t>
      </w:r>
      <w:r>
        <w:rPr>
          <w:rFonts w:asciiTheme="majorBidi" w:hAnsiTheme="majorBidi" w:cstheme="majorBidi"/>
        </w:rPr>
        <w:t xml:space="preserve">precedent and establish a duty to warn protocol (Cantu &amp; Hopson, 2000). Likewise, it is irresponsible for the state to </w:t>
      </w:r>
      <w:r w:rsidR="00DB795F">
        <w:rPr>
          <w:rFonts w:asciiTheme="majorBidi" w:hAnsiTheme="majorBidi" w:cstheme="majorBidi"/>
        </w:rPr>
        <w:t>dis</w:t>
      </w:r>
      <w:r>
        <w:rPr>
          <w:rFonts w:asciiTheme="majorBidi" w:hAnsiTheme="majorBidi" w:cstheme="majorBidi"/>
        </w:rPr>
        <w:t xml:space="preserve">allow clinicians to contact potential victims or the family members of a client who is intent on suicide. I believe that reforms need to be made in this area immediately to allow clinicians to better protect their clients and the population at large. Conversely, mandatory reporting for child abuse, elder abuse, and abuse within institutions is a good idea in that it helps to ensure the welfare of the public. </w:t>
      </w:r>
    </w:p>
    <w:p w14:paraId="513707C0" w14:textId="21C1CEEA" w:rsidR="0057333D" w:rsidRDefault="0057333D" w:rsidP="0057333D">
      <w:pPr>
        <w:spacing w:line="480" w:lineRule="auto"/>
        <w:ind w:firstLine="720"/>
        <w:rPr>
          <w:rFonts w:asciiTheme="majorBidi" w:hAnsiTheme="majorBidi" w:cstheme="majorBidi"/>
        </w:rPr>
      </w:pPr>
      <w:r>
        <w:rPr>
          <w:rFonts w:asciiTheme="majorBidi" w:hAnsiTheme="majorBidi" w:cstheme="majorBidi"/>
        </w:rPr>
        <w:t xml:space="preserve">As a client, I would hope that a therapist would do all they could to prevent me from committing suicide or harming someone; however, some suicidal or homicidal clients may appreciate being able to discuss these experiences without the threat of detainment or confrontation. I would also feel comfortable with the states mandatory reporting laws because my values system is firmly against the abuse and exploitation of others. </w:t>
      </w:r>
    </w:p>
    <w:p w14:paraId="43CA5BBB" w14:textId="77777777" w:rsidR="00B66604" w:rsidRDefault="0057333D" w:rsidP="00B66604">
      <w:pPr>
        <w:spacing w:line="480" w:lineRule="auto"/>
        <w:rPr>
          <w:rFonts w:asciiTheme="majorBidi" w:hAnsiTheme="majorBidi" w:cstheme="majorBidi"/>
        </w:rPr>
      </w:pPr>
      <w:r>
        <w:rPr>
          <w:rFonts w:asciiTheme="majorBidi" w:hAnsiTheme="majorBidi" w:cstheme="majorBidi"/>
        </w:rPr>
        <w:lastRenderedPageBreak/>
        <w:tab/>
        <w:t xml:space="preserve">As a counselor, I believe that Texas’ failure to emulate the </w:t>
      </w:r>
      <w:r>
        <w:rPr>
          <w:rFonts w:asciiTheme="majorBidi" w:hAnsiTheme="majorBidi" w:cstheme="majorBidi"/>
          <w:i/>
          <w:iCs/>
        </w:rPr>
        <w:t xml:space="preserve">Tarasoff </w:t>
      </w:r>
      <w:r>
        <w:rPr>
          <w:rFonts w:asciiTheme="majorBidi" w:hAnsiTheme="majorBidi" w:cstheme="majorBidi"/>
        </w:rPr>
        <w:t xml:space="preserve">ruling inflates client autonomy at the expense of justice for </w:t>
      </w:r>
      <w:r w:rsidR="00DB795F">
        <w:rPr>
          <w:rFonts w:asciiTheme="majorBidi" w:hAnsiTheme="majorBidi" w:cstheme="majorBidi"/>
        </w:rPr>
        <w:t xml:space="preserve">clients and </w:t>
      </w:r>
      <w:r>
        <w:rPr>
          <w:rFonts w:asciiTheme="majorBidi" w:hAnsiTheme="majorBidi" w:cstheme="majorBidi"/>
        </w:rPr>
        <w:t>potential victims, leaving counselors to betray nonmaleficence by knowingly allowing harm to come to others while having the power to stop it (A</w:t>
      </w:r>
      <w:r w:rsidR="00B66604">
        <w:rPr>
          <w:rFonts w:asciiTheme="majorBidi" w:hAnsiTheme="majorBidi" w:cstheme="majorBidi"/>
        </w:rPr>
        <w:t>C</w:t>
      </w:r>
      <w:r>
        <w:rPr>
          <w:rFonts w:asciiTheme="majorBidi" w:hAnsiTheme="majorBidi" w:cstheme="majorBidi"/>
        </w:rPr>
        <w:t>A, 2014). The lack of a duty or ability to warn conflicts with</w:t>
      </w:r>
      <w:r w:rsidR="00B66604">
        <w:rPr>
          <w:rFonts w:asciiTheme="majorBidi" w:hAnsiTheme="majorBidi" w:cstheme="majorBidi"/>
        </w:rPr>
        <w:t xml:space="preserve"> ACA Code of Ethics (2014) </w:t>
      </w:r>
      <w:r>
        <w:rPr>
          <w:rFonts w:asciiTheme="majorBidi" w:hAnsiTheme="majorBidi" w:cstheme="majorBidi"/>
        </w:rPr>
        <w:t>sections A.1.a. calling client welfare a top priority, A.4.a. requiring counselors to avoid harming others, and B.2.a. which requires counselors to protect clients and others from known harm (A</w:t>
      </w:r>
      <w:r w:rsidR="00B66604">
        <w:rPr>
          <w:rFonts w:asciiTheme="majorBidi" w:hAnsiTheme="majorBidi" w:cstheme="majorBidi"/>
        </w:rPr>
        <w:t>C</w:t>
      </w:r>
      <w:r>
        <w:rPr>
          <w:rFonts w:asciiTheme="majorBidi" w:hAnsiTheme="majorBidi" w:cstheme="majorBidi"/>
        </w:rPr>
        <w:t xml:space="preserve">A, 2014). Similarly, Texas provides no duty or ability to report the suspected spreading of life-threatening diseases, </w:t>
      </w:r>
      <w:r w:rsidR="00B66604">
        <w:rPr>
          <w:rFonts w:asciiTheme="majorBidi" w:hAnsiTheme="majorBidi" w:cstheme="majorBidi"/>
        </w:rPr>
        <w:t xml:space="preserve">also endangering potential victims, providing no liability to MHPs who report, </w:t>
      </w:r>
      <w:r>
        <w:rPr>
          <w:rFonts w:asciiTheme="majorBidi" w:hAnsiTheme="majorBidi" w:cstheme="majorBidi"/>
        </w:rPr>
        <w:t>and violating ACA code B.2.c.</w:t>
      </w:r>
      <w:r w:rsidR="00B66604">
        <w:rPr>
          <w:rFonts w:asciiTheme="majorBidi" w:hAnsiTheme="majorBidi" w:cstheme="majorBidi"/>
        </w:rPr>
        <w:t xml:space="preserve"> which calls for such reporting</w:t>
      </w:r>
      <w:r>
        <w:rPr>
          <w:rFonts w:asciiTheme="majorBidi" w:hAnsiTheme="majorBidi" w:cstheme="majorBidi"/>
        </w:rPr>
        <w:t xml:space="preserve"> (ACA, 2014). </w:t>
      </w:r>
    </w:p>
    <w:p w14:paraId="445B5ECD" w14:textId="2F1024F7" w:rsidR="0057333D" w:rsidRDefault="0057333D" w:rsidP="00B66604">
      <w:pPr>
        <w:spacing w:line="480" w:lineRule="auto"/>
        <w:ind w:firstLine="720"/>
        <w:rPr>
          <w:rFonts w:asciiTheme="majorBidi" w:hAnsiTheme="majorBidi" w:cstheme="majorBidi"/>
        </w:rPr>
      </w:pPr>
      <w:r>
        <w:rPr>
          <w:rFonts w:asciiTheme="majorBidi" w:hAnsiTheme="majorBidi" w:cstheme="majorBidi"/>
        </w:rPr>
        <w:t xml:space="preserve">The other mandatory and authorized reporting procedures seem to provide opportunities for counselors to preserve the public good and protect client confidentiality. For example, counselors are protected when filing a mandated report mentioned in </w:t>
      </w:r>
      <w:r w:rsidRPr="00FC6997">
        <w:rPr>
          <w:rFonts w:asciiTheme="majorBidi" w:hAnsiTheme="majorBidi" w:cstheme="majorBidi"/>
        </w:rPr>
        <w:t>Texas Administrative Code</w:t>
      </w:r>
      <w:r>
        <w:rPr>
          <w:rFonts w:asciiTheme="majorBidi" w:hAnsiTheme="majorBidi" w:cstheme="majorBidi"/>
        </w:rPr>
        <w:t xml:space="preserve"> </w:t>
      </w:r>
      <w:r w:rsidRPr="00FC6997">
        <w:rPr>
          <w:rFonts w:asciiTheme="majorBidi" w:hAnsiTheme="majorBidi" w:cstheme="majorBidi"/>
        </w:rPr>
        <w:t>§</w:t>
      </w:r>
      <w:r>
        <w:rPr>
          <w:rFonts w:asciiTheme="majorBidi" w:hAnsiTheme="majorBidi" w:cstheme="majorBidi"/>
        </w:rPr>
        <w:t xml:space="preserve"> </w:t>
      </w:r>
      <w:r w:rsidRPr="00FC6997">
        <w:rPr>
          <w:rFonts w:asciiTheme="majorBidi" w:hAnsiTheme="majorBidi" w:cstheme="majorBidi"/>
        </w:rPr>
        <w:t>681</w:t>
      </w:r>
      <w:r>
        <w:rPr>
          <w:rFonts w:asciiTheme="majorBidi" w:hAnsiTheme="majorBidi" w:cstheme="majorBidi"/>
        </w:rPr>
        <w:t xml:space="preserve"> (2020)</w:t>
      </w:r>
      <w:r>
        <w:rPr>
          <w:rFonts w:asciiTheme="majorBidi" w:hAnsiTheme="majorBidi" w:cstheme="majorBidi"/>
        </w:rPr>
        <w:t xml:space="preserve">, saving counselors from legal and civil liability. Likewise, </w:t>
      </w:r>
      <w:r>
        <w:rPr>
          <w:rFonts w:asciiTheme="majorBidi" w:hAnsiTheme="majorBidi" w:cstheme="majorBidi"/>
        </w:rPr>
        <w:t>Texas Health and Safety Code</w:t>
      </w:r>
      <w:r w:rsidRPr="00FC6997">
        <w:rPr>
          <w:rFonts w:asciiTheme="majorBidi" w:hAnsiTheme="majorBidi" w:cstheme="majorBidi"/>
        </w:rPr>
        <w:t xml:space="preserve"> § 611</w:t>
      </w:r>
      <w:r>
        <w:rPr>
          <w:rFonts w:asciiTheme="majorBidi" w:hAnsiTheme="majorBidi" w:cstheme="majorBidi"/>
        </w:rPr>
        <w:t xml:space="preserve"> (2021)</w:t>
      </w:r>
      <w:r>
        <w:rPr>
          <w:rFonts w:asciiTheme="majorBidi" w:hAnsiTheme="majorBidi" w:cstheme="majorBidi"/>
        </w:rPr>
        <w:t xml:space="preserve">, allows counselors to advocate for client confidentiality, even when faced with a court order or subpoena. However, the lack of an ability or duty to warn could put counselors in the position of allowing somebody to pay the ultimate price for another’s inaction. That would be </w:t>
      </w:r>
      <w:r w:rsidR="00B66604">
        <w:rPr>
          <w:rFonts w:asciiTheme="majorBidi" w:hAnsiTheme="majorBidi" w:cstheme="majorBidi"/>
        </w:rPr>
        <w:t xml:space="preserve">a </w:t>
      </w:r>
      <w:r>
        <w:rPr>
          <w:rFonts w:asciiTheme="majorBidi" w:hAnsiTheme="majorBidi" w:cstheme="majorBidi"/>
        </w:rPr>
        <w:t xml:space="preserve">difficult </w:t>
      </w:r>
      <w:r w:rsidR="00B66604">
        <w:rPr>
          <w:rFonts w:asciiTheme="majorBidi" w:hAnsiTheme="majorBidi" w:cstheme="majorBidi"/>
        </w:rPr>
        <w:t xml:space="preserve">legal standard </w:t>
      </w:r>
      <w:r>
        <w:rPr>
          <w:rFonts w:asciiTheme="majorBidi" w:hAnsiTheme="majorBidi" w:cstheme="majorBidi"/>
        </w:rPr>
        <w:t>for me to uphold as a counselor, knowing that</w:t>
      </w:r>
      <w:r w:rsidR="00B66604">
        <w:rPr>
          <w:rFonts w:asciiTheme="majorBidi" w:hAnsiTheme="majorBidi" w:cstheme="majorBidi"/>
        </w:rPr>
        <w:t xml:space="preserve"> I could save somebody’s life if only I gave them an unauthorized warning.</w:t>
      </w:r>
    </w:p>
    <w:p w14:paraId="270554DB" w14:textId="4C18B7E7" w:rsidR="0057333D" w:rsidRDefault="0057333D" w:rsidP="0057333D">
      <w:pPr>
        <w:spacing w:line="480" w:lineRule="auto"/>
        <w:jc w:val="center"/>
        <w:rPr>
          <w:rFonts w:asciiTheme="majorBidi" w:hAnsiTheme="majorBidi" w:cstheme="majorBidi"/>
          <w:b/>
          <w:bCs/>
        </w:rPr>
      </w:pPr>
      <w:r>
        <w:rPr>
          <w:rFonts w:asciiTheme="majorBidi" w:hAnsiTheme="majorBidi" w:cstheme="majorBidi"/>
          <w:b/>
          <w:bCs/>
        </w:rPr>
        <w:t>Conclusion</w:t>
      </w:r>
    </w:p>
    <w:p w14:paraId="6B5408A2" w14:textId="09572F85" w:rsidR="0057333D" w:rsidRPr="0057333D" w:rsidRDefault="0057333D" w:rsidP="0057333D">
      <w:pPr>
        <w:spacing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While Texas does concretely outline many of the potential scenarios in which confidentiality and privileged communication may or must be compromised, the refusal of the state’s courts to institute a duty or ability to warn the appropriate parties in cases of </w:t>
      </w:r>
      <w:proofErr w:type="spellStart"/>
      <w:r>
        <w:rPr>
          <w:rFonts w:asciiTheme="majorBidi" w:hAnsiTheme="majorBidi" w:cstheme="majorBidi"/>
        </w:rPr>
        <w:t>homicidality</w:t>
      </w:r>
      <w:proofErr w:type="spellEnd"/>
      <w:r>
        <w:rPr>
          <w:rFonts w:asciiTheme="majorBidi" w:hAnsiTheme="majorBidi" w:cstheme="majorBidi"/>
        </w:rPr>
        <w:t xml:space="preserve">, suicidality, and the spreading of infectious diseases puts counselors in an impossible position of </w:t>
      </w:r>
      <w:r>
        <w:rPr>
          <w:rFonts w:asciiTheme="majorBidi" w:hAnsiTheme="majorBidi" w:cstheme="majorBidi"/>
        </w:rPr>
        <w:lastRenderedPageBreak/>
        <w:t>choosing between their careers and legal status and helping a client or potential victim in dire need. Relevant case law also demonstrates that the courts are conflicted on the need for a duty to warn precedent (</w:t>
      </w:r>
      <w:r w:rsidRPr="0057333D">
        <w:rPr>
          <w:rStyle w:val="serif"/>
          <w:i/>
          <w:iCs/>
        </w:rPr>
        <w:t>Kerrville State Hospital v. Clark</w:t>
      </w:r>
      <w:r>
        <w:rPr>
          <w:rStyle w:val="serif"/>
          <w:i/>
          <w:iCs/>
        </w:rPr>
        <w:t xml:space="preserve">, </w:t>
      </w:r>
      <w:r>
        <w:rPr>
          <w:rStyle w:val="serif"/>
        </w:rPr>
        <w:t>1996</w:t>
      </w:r>
      <w:r>
        <w:rPr>
          <w:rFonts w:asciiTheme="majorBidi" w:hAnsiTheme="majorBidi" w:cstheme="majorBidi"/>
        </w:rPr>
        <w:t xml:space="preserve">; </w:t>
      </w:r>
      <w:r>
        <w:rPr>
          <w:rFonts w:asciiTheme="majorBidi" w:hAnsiTheme="majorBidi" w:cstheme="majorBidi"/>
          <w:i/>
          <w:iCs/>
        </w:rPr>
        <w:t>Thapar v. Zezulka</w:t>
      </w:r>
      <w:r>
        <w:rPr>
          <w:rFonts w:asciiTheme="majorBidi" w:hAnsiTheme="majorBidi" w:cstheme="majorBidi"/>
          <w:i/>
          <w:iCs/>
        </w:rPr>
        <w:t>,</w:t>
      </w:r>
      <w:r>
        <w:rPr>
          <w:rFonts w:asciiTheme="majorBidi" w:hAnsiTheme="majorBidi" w:cstheme="majorBidi"/>
        </w:rPr>
        <w:t>1999</w:t>
      </w:r>
      <w:r>
        <w:rPr>
          <w:rFonts w:asciiTheme="majorBidi" w:hAnsiTheme="majorBidi" w:cstheme="majorBidi"/>
        </w:rPr>
        <w:t xml:space="preserve">; </w:t>
      </w:r>
      <w:proofErr w:type="spellStart"/>
      <w:r>
        <w:rPr>
          <w:rStyle w:val="serif"/>
          <w:i/>
          <w:iCs/>
        </w:rPr>
        <w:t>Zezulka</w:t>
      </w:r>
      <w:proofErr w:type="spellEnd"/>
      <w:r>
        <w:rPr>
          <w:rStyle w:val="serif"/>
          <w:i/>
          <w:iCs/>
        </w:rPr>
        <w:t xml:space="preserve"> v. Thapar</w:t>
      </w:r>
      <w:r>
        <w:rPr>
          <w:rStyle w:val="serif"/>
          <w:i/>
          <w:iCs/>
        </w:rPr>
        <w:t xml:space="preserve">, </w:t>
      </w:r>
      <w:r>
        <w:rPr>
          <w:rStyle w:val="serif"/>
        </w:rPr>
        <w:t>1997)</w:t>
      </w:r>
      <w:r>
        <w:rPr>
          <w:rStyle w:val="serif"/>
        </w:rPr>
        <w:t>.</w:t>
      </w:r>
      <w:r>
        <w:rPr>
          <w:rStyle w:val="serif"/>
        </w:rPr>
        <w:t xml:space="preserve"> </w:t>
      </w:r>
      <w:r>
        <w:rPr>
          <w:rFonts w:asciiTheme="majorBidi" w:hAnsiTheme="majorBidi" w:cstheme="majorBidi"/>
        </w:rPr>
        <w:t xml:space="preserve">The </w:t>
      </w:r>
      <w:proofErr w:type="gramStart"/>
      <w:r w:rsidR="00E74A86">
        <w:rPr>
          <w:rFonts w:asciiTheme="majorBidi" w:hAnsiTheme="majorBidi" w:cstheme="majorBidi"/>
        </w:rPr>
        <w:t>aforementioned</w:t>
      </w:r>
      <w:r>
        <w:rPr>
          <w:rFonts w:asciiTheme="majorBidi" w:hAnsiTheme="majorBidi" w:cstheme="majorBidi"/>
        </w:rPr>
        <w:t xml:space="preserve"> statutes</w:t>
      </w:r>
      <w:proofErr w:type="gramEnd"/>
      <w:r>
        <w:rPr>
          <w:rFonts w:asciiTheme="majorBidi" w:hAnsiTheme="majorBidi" w:cstheme="majorBidi"/>
        </w:rPr>
        <w:t xml:space="preserve"> in the Texas legal code do allow for much freedom on the part of the counselor to advocate for their client</w:t>
      </w:r>
      <w:r w:rsidR="00E74A86">
        <w:rPr>
          <w:rFonts w:asciiTheme="majorBidi" w:hAnsiTheme="majorBidi" w:cstheme="majorBidi"/>
        </w:rPr>
        <w:t>s</w:t>
      </w:r>
      <w:r>
        <w:rPr>
          <w:rFonts w:asciiTheme="majorBidi" w:hAnsiTheme="majorBidi" w:cstheme="majorBidi"/>
        </w:rPr>
        <w:t xml:space="preserve"> and report</w:t>
      </w:r>
      <w:r w:rsidR="00E74A86">
        <w:rPr>
          <w:rFonts w:asciiTheme="majorBidi" w:hAnsiTheme="majorBidi" w:cstheme="majorBidi"/>
        </w:rPr>
        <w:t xml:space="preserve"> the appropriate authorities</w:t>
      </w:r>
      <w:r>
        <w:rPr>
          <w:rFonts w:asciiTheme="majorBidi" w:hAnsiTheme="majorBidi" w:cstheme="majorBidi"/>
        </w:rPr>
        <w:t xml:space="preserve"> </w:t>
      </w:r>
      <w:r w:rsidR="00E74A86">
        <w:rPr>
          <w:rFonts w:asciiTheme="majorBidi" w:hAnsiTheme="majorBidi" w:cstheme="majorBidi"/>
        </w:rPr>
        <w:t>in numerous circumstances</w:t>
      </w:r>
      <w:r>
        <w:rPr>
          <w:rFonts w:asciiTheme="majorBidi" w:hAnsiTheme="majorBidi" w:cstheme="majorBidi"/>
        </w:rPr>
        <w:t xml:space="preserve">; however, the refusal to allow clinicians to prevent serious harm </w:t>
      </w:r>
      <w:r w:rsidR="00E74A86">
        <w:rPr>
          <w:rFonts w:asciiTheme="majorBidi" w:hAnsiTheme="majorBidi" w:cstheme="majorBidi"/>
        </w:rPr>
        <w:t xml:space="preserve">by contacting potential victims or the supports of at-risk clients </w:t>
      </w:r>
      <w:r>
        <w:rPr>
          <w:rFonts w:asciiTheme="majorBidi" w:hAnsiTheme="majorBidi" w:cstheme="majorBidi"/>
        </w:rPr>
        <w:t xml:space="preserve">is an egregious error. </w:t>
      </w:r>
      <w:r w:rsidR="00752296">
        <w:rPr>
          <w:rFonts w:asciiTheme="majorBidi" w:hAnsiTheme="majorBidi" w:cstheme="majorBidi"/>
        </w:rPr>
        <w:t xml:space="preserve">While confidentiality and privileged communication are well protected in Texas, counselors are not allowed to </w:t>
      </w:r>
      <w:r w:rsidR="00E74A86">
        <w:rPr>
          <w:rFonts w:asciiTheme="majorBidi" w:hAnsiTheme="majorBidi" w:cstheme="majorBidi"/>
        </w:rPr>
        <w:t xml:space="preserve">fully </w:t>
      </w:r>
      <w:r w:rsidR="00752296">
        <w:rPr>
          <w:rFonts w:asciiTheme="majorBidi" w:hAnsiTheme="majorBidi" w:cstheme="majorBidi"/>
        </w:rPr>
        <w:t>fulfill our ethical obligation to protect others</w:t>
      </w:r>
      <w:r w:rsidR="00E74A86">
        <w:rPr>
          <w:rFonts w:asciiTheme="majorBidi" w:hAnsiTheme="majorBidi" w:cstheme="majorBidi"/>
        </w:rPr>
        <w:t>.</w:t>
      </w:r>
    </w:p>
    <w:p w14:paraId="2E3EC19B" w14:textId="67EF21C5" w:rsidR="0057333D" w:rsidRPr="0057333D" w:rsidRDefault="0057333D" w:rsidP="0057333D">
      <w:pPr>
        <w:spacing w:line="480" w:lineRule="auto"/>
        <w:rPr>
          <w:rFonts w:asciiTheme="majorBidi" w:hAnsiTheme="majorBidi" w:cstheme="majorBidi"/>
        </w:rPr>
      </w:pPr>
    </w:p>
    <w:p w14:paraId="079AB50F" w14:textId="5520A683" w:rsidR="0057333D" w:rsidRPr="0057333D" w:rsidRDefault="0057333D" w:rsidP="0057333D">
      <w:pPr>
        <w:spacing w:line="480" w:lineRule="auto"/>
        <w:rPr>
          <w:rFonts w:asciiTheme="majorBidi" w:hAnsiTheme="majorBidi" w:cstheme="majorBidi"/>
        </w:rPr>
      </w:pPr>
      <w:r>
        <w:rPr>
          <w:rFonts w:asciiTheme="majorBidi" w:hAnsiTheme="majorBidi" w:cstheme="majorBidi"/>
        </w:rPr>
        <w:tab/>
      </w:r>
    </w:p>
    <w:p w14:paraId="1B113679" w14:textId="778DCC92" w:rsidR="00807EAC" w:rsidRDefault="00807EAC" w:rsidP="003F6B69">
      <w:pPr>
        <w:spacing w:line="480" w:lineRule="auto"/>
        <w:rPr>
          <w:rFonts w:asciiTheme="majorBidi" w:hAnsiTheme="majorBidi" w:cstheme="majorBidi"/>
        </w:rPr>
      </w:pPr>
    </w:p>
    <w:p w14:paraId="1ECCB502" w14:textId="7E637D2C" w:rsidR="00807EAC" w:rsidRDefault="00807EAC" w:rsidP="00807EAC">
      <w:pPr>
        <w:spacing w:line="480" w:lineRule="auto"/>
        <w:rPr>
          <w:rFonts w:asciiTheme="majorBidi" w:hAnsiTheme="majorBidi" w:cstheme="majorBidi"/>
        </w:rPr>
      </w:pPr>
    </w:p>
    <w:p w14:paraId="120A01CF" w14:textId="77777777" w:rsidR="00E74A86" w:rsidRDefault="00E74A86" w:rsidP="00FC6997">
      <w:pPr>
        <w:spacing w:line="480" w:lineRule="auto"/>
        <w:jc w:val="center"/>
        <w:rPr>
          <w:rFonts w:asciiTheme="majorBidi" w:hAnsiTheme="majorBidi" w:cstheme="majorBidi"/>
        </w:rPr>
      </w:pPr>
    </w:p>
    <w:p w14:paraId="44BC4AD4" w14:textId="77777777" w:rsidR="00E74A86" w:rsidRDefault="00E74A86" w:rsidP="00FC6997">
      <w:pPr>
        <w:spacing w:line="480" w:lineRule="auto"/>
        <w:jc w:val="center"/>
        <w:rPr>
          <w:rFonts w:asciiTheme="majorBidi" w:hAnsiTheme="majorBidi" w:cstheme="majorBidi"/>
        </w:rPr>
      </w:pPr>
    </w:p>
    <w:p w14:paraId="4929F06C" w14:textId="77777777" w:rsidR="00E74A86" w:rsidRDefault="00E74A86" w:rsidP="00FC6997">
      <w:pPr>
        <w:spacing w:line="480" w:lineRule="auto"/>
        <w:jc w:val="center"/>
        <w:rPr>
          <w:rFonts w:asciiTheme="majorBidi" w:hAnsiTheme="majorBidi" w:cstheme="majorBidi"/>
        </w:rPr>
      </w:pPr>
    </w:p>
    <w:p w14:paraId="3BBEE332" w14:textId="77777777" w:rsidR="00E74A86" w:rsidRDefault="00E74A86" w:rsidP="00FC6997">
      <w:pPr>
        <w:spacing w:line="480" w:lineRule="auto"/>
        <w:jc w:val="center"/>
        <w:rPr>
          <w:rFonts w:asciiTheme="majorBidi" w:hAnsiTheme="majorBidi" w:cstheme="majorBidi"/>
        </w:rPr>
      </w:pPr>
    </w:p>
    <w:p w14:paraId="29F26B4C" w14:textId="77777777" w:rsidR="00E74A86" w:rsidRDefault="00E74A86" w:rsidP="00FC6997">
      <w:pPr>
        <w:spacing w:line="480" w:lineRule="auto"/>
        <w:jc w:val="center"/>
        <w:rPr>
          <w:rFonts w:asciiTheme="majorBidi" w:hAnsiTheme="majorBidi" w:cstheme="majorBidi"/>
        </w:rPr>
      </w:pPr>
    </w:p>
    <w:p w14:paraId="44BA6E37" w14:textId="77777777" w:rsidR="00E74A86" w:rsidRDefault="00E74A86" w:rsidP="00FC6997">
      <w:pPr>
        <w:spacing w:line="480" w:lineRule="auto"/>
        <w:jc w:val="center"/>
        <w:rPr>
          <w:rFonts w:asciiTheme="majorBidi" w:hAnsiTheme="majorBidi" w:cstheme="majorBidi"/>
        </w:rPr>
      </w:pPr>
    </w:p>
    <w:p w14:paraId="3DC7CF1E" w14:textId="77777777" w:rsidR="00E74A86" w:rsidRDefault="00E74A86" w:rsidP="00FC6997">
      <w:pPr>
        <w:spacing w:line="480" w:lineRule="auto"/>
        <w:jc w:val="center"/>
        <w:rPr>
          <w:rFonts w:asciiTheme="majorBidi" w:hAnsiTheme="majorBidi" w:cstheme="majorBidi"/>
        </w:rPr>
      </w:pPr>
    </w:p>
    <w:p w14:paraId="7AB91DA3" w14:textId="77777777" w:rsidR="00E74A86" w:rsidRDefault="00E74A86" w:rsidP="00FC6997">
      <w:pPr>
        <w:spacing w:line="480" w:lineRule="auto"/>
        <w:jc w:val="center"/>
        <w:rPr>
          <w:rFonts w:asciiTheme="majorBidi" w:hAnsiTheme="majorBidi" w:cstheme="majorBidi"/>
        </w:rPr>
      </w:pPr>
    </w:p>
    <w:p w14:paraId="3025674A" w14:textId="77777777" w:rsidR="00E74A86" w:rsidRDefault="00E74A86" w:rsidP="00FC6997">
      <w:pPr>
        <w:spacing w:line="480" w:lineRule="auto"/>
        <w:jc w:val="center"/>
        <w:rPr>
          <w:rFonts w:asciiTheme="majorBidi" w:hAnsiTheme="majorBidi" w:cstheme="majorBidi"/>
        </w:rPr>
      </w:pPr>
    </w:p>
    <w:p w14:paraId="3272AD09" w14:textId="77777777" w:rsidR="00E74A86" w:rsidRDefault="00E74A86" w:rsidP="00627C3F">
      <w:pPr>
        <w:spacing w:line="480" w:lineRule="auto"/>
        <w:rPr>
          <w:rFonts w:asciiTheme="majorBidi" w:hAnsiTheme="majorBidi" w:cstheme="majorBidi"/>
        </w:rPr>
      </w:pPr>
    </w:p>
    <w:p w14:paraId="3D3E20E4" w14:textId="3E5DE04D" w:rsidR="00FC6997" w:rsidRDefault="00FC6997" w:rsidP="00FC6997">
      <w:pPr>
        <w:spacing w:line="480" w:lineRule="auto"/>
        <w:jc w:val="center"/>
        <w:rPr>
          <w:rFonts w:asciiTheme="majorBidi" w:hAnsiTheme="majorBidi" w:cstheme="majorBidi"/>
        </w:rPr>
      </w:pPr>
      <w:r>
        <w:rPr>
          <w:rFonts w:asciiTheme="majorBidi" w:hAnsiTheme="majorBidi" w:cstheme="majorBidi"/>
        </w:rPr>
        <w:lastRenderedPageBreak/>
        <w:t>References</w:t>
      </w:r>
    </w:p>
    <w:p w14:paraId="1DB37976" w14:textId="14026F8E" w:rsidR="005B4025" w:rsidRDefault="005B4025" w:rsidP="005B4025">
      <w:pPr>
        <w:spacing w:line="480" w:lineRule="auto"/>
        <w:rPr>
          <w:rFonts w:asciiTheme="majorBidi" w:hAnsiTheme="majorBidi" w:cstheme="majorBidi"/>
        </w:rPr>
      </w:pPr>
      <w:r w:rsidRPr="005B4025">
        <w:rPr>
          <w:rFonts w:asciiTheme="majorBidi" w:hAnsiTheme="majorBidi" w:cstheme="majorBidi"/>
        </w:rPr>
        <w:t>American Counseling Association (2014). ACA Code of Ethics. Alexandria, VA.</w:t>
      </w:r>
    </w:p>
    <w:p w14:paraId="0B935065" w14:textId="77777777" w:rsidR="00B21430" w:rsidRDefault="00B21430" w:rsidP="00B21430">
      <w:pPr>
        <w:spacing w:line="480" w:lineRule="auto"/>
      </w:pPr>
      <w:r>
        <w:t>Cantu</w:t>
      </w:r>
      <w:r>
        <w:t xml:space="preserve">, </w:t>
      </w:r>
      <w:r>
        <w:t>C</w:t>
      </w:r>
      <w:r>
        <w:t>.</w:t>
      </w:r>
      <w:r>
        <w:t xml:space="preserve"> E. &amp;</w:t>
      </w:r>
      <w:r>
        <w:t xml:space="preserve"> </w:t>
      </w:r>
      <w:r>
        <w:t>Hopson</w:t>
      </w:r>
      <w:r>
        <w:t xml:space="preserve">, </w:t>
      </w:r>
      <w:r>
        <w:t>M</w:t>
      </w:r>
      <w:r>
        <w:t xml:space="preserve">. </w:t>
      </w:r>
      <w:r>
        <w:t>H</w:t>
      </w:r>
      <w:r>
        <w:t>.</w:t>
      </w:r>
      <w:r>
        <w:t xml:space="preserve"> J.</w:t>
      </w:r>
      <w:r>
        <w:t>,</w:t>
      </w:r>
      <w:r>
        <w:t xml:space="preserve"> </w:t>
      </w:r>
      <w:r>
        <w:t>(</w:t>
      </w:r>
      <w:r>
        <w:t>2000</w:t>
      </w:r>
      <w:r>
        <w:t>).</w:t>
      </w:r>
      <w:r w:rsidRPr="00B21430">
        <w:rPr>
          <w:rFonts w:ascii="Arial" w:hAnsi="Arial" w:cs="Arial"/>
          <w:sz w:val="40"/>
          <w:szCs w:val="40"/>
        </w:rPr>
        <w:t xml:space="preserve"> </w:t>
      </w:r>
      <w:r w:rsidRPr="00B21430">
        <w:t xml:space="preserve">Bitter </w:t>
      </w:r>
      <w:r>
        <w:t>m</w:t>
      </w:r>
      <w:r w:rsidRPr="00B21430">
        <w:t xml:space="preserve">edicine: </w:t>
      </w:r>
      <w:r>
        <w:t>a</w:t>
      </w:r>
      <w:r w:rsidRPr="00B21430">
        <w:t xml:space="preserve"> </w:t>
      </w:r>
      <w:r>
        <w:t>c</w:t>
      </w:r>
      <w:r w:rsidRPr="00B21430">
        <w:t xml:space="preserve">ritical </w:t>
      </w:r>
      <w:r>
        <w:t>l</w:t>
      </w:r>
      <w:r w:rsidRPr="00B21430">
        <w:t xml:space="preserve">ook at the </w:t>
      </w:r>
      <w:r>
        <w:t>m</w:t>
      </w:r>
      <w:r w:rsidRPr="00B21430">
        <w:t xml:space="preserve">ental </w:t>
      </w:r>
      <w:r>
        <w:t>h</w:t>
      </w:r>
      <w:r w:rsidRPr="00B21430">
        <w:t xml:space="preserve">ealth </w:t>
      </w:r>
    </w:p>
    <w:p w14:paraId="02C0F98A" w14:textId="175AA5B2" w:rsidR="00B21430" w:rsidRPr="00B21430" w:rsidRDefault="00B21430" w:rsidP="00B21430">
      <w:pPr>
        <w:spacing w:line="480" w:lineRule="auto"/>
        <w:ind w:left="720"/>
      </w:pPr>
      <w:r>
        <w:t>c</w:t>
      </w:r>
      <w:r w:rsidRPr="00B21430">
        <w:t xml:space="preserve">are </w:t>
      </w:r>
      <w:r>
        <w:t>p</w:t>
      </w:r>
      <w:r w:rsidRPr="00B21430">
        <w:t xml:space="preserve">rovider’s </w:t>
      </w:r>
      <w:r>
        <w:t>d</w:t>
      </w:r>
      <w:r w:rsidRPr="00B21430">
        <w:t xml:space="preserve">uty to </w:t>
      </w:r>
      <w:r>
        <w:t>w</w:t>
      </w:r>
      <w:r w:rsidRPr="00B21430">
        <w:t xml:space="preserve">arn in </w:t>
      </w:r>
      <w:r>
        <w:t>T</w:t>
      </w:r>
      <w:r w:rsidRPr="00B21430">
        <w:t>exas</w:t>
      </w:r>
      <w:r>
        <w:t>. </w:t>
      </w:r>
      <w:r>
        <w:rPr>
          <w:rStyle w:val="Emphasis"/>
        </w:rPr>
        <w:t>St. Mary’s Law Journal</w:t>
      </w:r>
      <w:r>
        <w:t>,</w:t>
      </w:r>
      <w:r>
        <w:rPr>
          <w:rStyle w:val="Emphasis"/>
        </w:rPr>
        <w:t xml:space="preserve"> </w:t>
      </w:r>
      <w:r>
        <w:rPr>
          <w:rStyle w:val="Emphasis"/>
        </w:rPr>
        <w:t>31</w:t>
      </w:r>
      <w:r>
        <w:t>(</w:t>
      </w:r>
      <w:r>
        <w:t>359</w:t>
      </w:r>
      <w:r>
        <w:t>)</w:t>
      </w:r>
      <w:r>
        <w:t xml:space="preserve">. </w:t>
      </w:r>
      <w:r w:rsidRPr="00B21430">
        <w:t>https://commons.stmarytx.edu/cgi/viewcontent.cgi?article=1375&amp;context=facarticles</w:t>
      </w:r>
    </w:p>
    <w:p w14:paraId="1F3EC759" w14:textId="7F5C0C5F" w:rsidR="00FC6997" w:rsidRDefault="00FC6997" w:rsidP="00FC6997">
      <w:pPr>
        <w:spacing w:line="480" w:lineRule="auto"/>
        <w:rPr>
          <w:rStyle w:val="serif"/>
        </w:rPr>
      </w:pPr>
      <w:r w:rsidRPr="00FC6997">
        <w:rPr>
          <w:rStyle w:val="serif"/>
        </w:rPr>
        <w:t>Kerrville State Hosp</w:t>
      </w:r>
      <w:r>
        <w:rPr>
          <w:rStyle w:val="serif"/>
        </w:rPr>
        <w:t>ital</w:t>
      </w:r>
      <w:r w:rsidRPr="00FC6997">
        <w:rPr>
          <w:rStyle w:val="serif"/>
        </w:rPr>
        <w:t xml:space="preserve"> v. Clark</w:t>
      </w:r>
      <w:r>
        <w:rPr>
          <w:rStyle w:val="serif"/>
        </w:rPr>
        <w:t>,</w:t>
      </w:r>
      <w:r>
        <w:rPr>
          <w:rStyle w:val="serif"/>
        </w:rPr>
        <w:t xml:space="preserve"> 923 S.W.2d 582 (Tex. 1996)</w:t>
      </w:r>
      <w:r>
        <w:rPr>
          <w:rStyle w:val="serif"/>
        </w:rPr>
        <w:t xml:space="preserve">. </w:t>
      </w:r>
    </w:p>
    <w:p w14:paraId="5D92C7E1" w14:textId="24539C3F" w:rsidR="00FC6997" w:rsidRDefault="005B4025" w:rsidP="00FC6997">
      <w:pPr>
        <w:spacing w:line="480" w:lineRule="auto"/>
        <w:ind w:firstLine="720"/>
        <w:rPr>
          <w:rStyle w:val="serif"/>
        </w:rPr>
      </w:pPr>
      <w:hyperlink r:id="rId7" w:history="1">
        <w:r w:rsidRPr="00882102">
          <w:rPr>
            <w:rStyle w:val="Hyperlink"/>
          </w:rPr>
          <w:t>https://casetext.com/case/kerrville-state-hosp-v-clark</w:t>
        </w:r>
      </w:hyperlink>
    </w:p>
    <w:p w14:paraId="2B67F9D6" w14:textId="77777777" w:rsidR="005B4025" w:rsidRDefault="005B4025" w:rsidP="005B4025">
      <w:pPr>
        <w:spacing w:line="480" w:lineRule="auto"/>
      </w:pPr>
      <w:r w:rsidRPr="00FC6997">
        <w:t xml:space="preserve">Remley, T.P., &amp; Herlihy, B. (2020). </w:t>
      </w:r>
      <w:r w:rsidRPr="00FC6997">
        <w:rPr>
          <w:i/>
          <w:iCs/>
        </w:rPr>
        <w:t>Ethical, legal, and professional issues in counseling.</w:t>
      </w:r>
      <w:r w:rsidRPr="00FC6997">
        <w:t xml:space="preserve"> </w:t>
      </w:r>
    </w:p>
    <w:p w14:paraId="3BB4890F" w14:textId="3F89B6F2" w:rsidR="005B4025" w:rsidRPr="005B4025" w:rsidRDefault="005B4025" w:rsidP="005B4025">
      <w:pPr>
        <w:spacing w:line="480" w:lineRule="auto"/>
        <w:ind w:left="720"/>
        <w:rPr>
          <w:rFonts w:asciiTheme="majorBidi" w:hAnsiTheme="majorBidi" w:cstheme="majorBidi"/>
        </w:rPr>
      </w:pPr>
      <w:r w:rsidRPr="00FC6997">
        <w:t>(6th ed.). Upper Saddle River, NJ: Merrill.</w:t>
      </w:r>
    </w:p>
    <w:p w14:paraId="2FFE71E8" w14:textId="0296C528" w:rsidR="00FC6997" w:rsidRDefault="00FC6997" w:rsidP="00FC6997">
      <w:pPr>
        <w:spacing w:line="480" w:lineRule="auto"/>
        <w:rPr>
          <w:rFonts w:asciiTheme="majorBidi" w:hAnsiTheme="majorBidi" w:cstheme="majorBidi"/>
        </w:rPr>
      </w:pPr>
      <w:r w:rsidRPr="00FC6997">
        <w:rPr>
          <w:rFonts w:asciiTheme="majorBidi" w:hAnsiTheme="majorBidi" w:cstheme="majorBidi"/>
        </w:rPr>
        <w:t>Texas Administrative Code</w:t>
      </w:r>
      <w:r>
        <w:rPr>
          <w:rFonts w:asciiTheme="majorBidi" w:hAnsiTheme="majorBidi" w:cstheme="majorBidi"/>
        </w:rPr>
        <w:t xml:space="preserve"> </w:t>
      </w:r>
      <w:r w:rsidRPr="00FC6997">
        <w:rPr>
          <w:rFonts w:asciiTheme="majorBidi" w:hAnsiTheme="majorBidi" w:cstheme="majorBidi"/>
        </w:rPr>
        <w:t>§</w:t>
      </w:r>
      <w:r>
        <w:rPr>
          <w:rFonts w:asciiTheme="majorBidi" w:hAnsiTheme="majorBidi" w:cstheme="majorBidi"/>
        </w:rPr>
        <w:t xml:space="preserve"> </w:t>
      </w:r>
      <w:r w:rsidRPr="00FC6997">
        <w:rPr>
          <w:rFonts w:asciiTheme="majorBidi" w:hAnsiTheme="majorBidi" w:cstheme="majorBidi"/>
        </w:rPr>
        <w:t>681</w:t>
      </w:r>
      <w:r>
        <w:rPr>
          <w:rFonts w:asciiTheme="majorBidi" w:hAnsiTheme="majorBidi" w:cstheme="majorBidi"/>
        </w:rPr>
        <w:t xml:space="preserve"> (202</w:t>
      </w:r>
      <w:r w:rsidR="00B92DB2">
        <w:rPr>
          <w:rFonts w:asciiTheme="majorBidi" w:hAnsiTheme="majorBidi" w:cstheme="majorBidi"/>
        </w:rPr>
        <w:t>0</w:t>
      </w:r>
      <w:r>
        <w:rPr>
          <w:rFonts w:asciiTheme="majorBidi" w:hAnsiTheme="majorBidi" w:cstheme="majorBidi"/>
        </w:rPr>
        <w:t xml:space="preserve">). </w:t>
      </w:r>
    </w:p>
    <w:p w14:paraId="4F64917F" w14:textId="77777777" w:rsidR="00FC6997" w:rsidRDefault="00FC6997" w:rsidP="00FC6997">
      <w:pPr>
        <w:spacing w:line="480" w:lineRule="auto"/>
        <w:ind w:firstLine="720"/>
        <w:rPr>
          <w:rFonts w:asciiTheme="majorBidi" w:hAnsiTheme="majorBidi" w:cstheme="majorBidi"/>
        </w:rPr>
      </w:pPr>
      <w:r w:rsidRPr="00FC6997">
        <w:rPr>
          <w:rFonts w:asciiTheme="majorBidi" w:hAnsiTheme="majorBidi" w:cstheme="majorBidi"/>
        </w:rPr>
        <w:t>https://texreg.sos.state.tx.us/public/readtac$ext.TacPage?sl=T&amp;app=9&amp;p_dir=P&amp;p_rloc=</w:t>
      </w:r>
    </w:p>
    <w:p w14:paraId="7940F3E4" w14:textId="4BD97A0C" w:rsidR="0057333D" w:rsidRDefault="00FC6997" w:rsidP="0057333D">
      <w:pPr>
        <w:spacing w:line="480" w:lineRule="auto"/>
        <w:ind w:firstLine="720"/>
        <w:rPr>
          <w:rFonts w:asciiTheme="majorBidi" w:hAnsiTheme="majorBidi" w:cstheme="majorBidi"/>
        </w:rPr>
      </w:pPr>
      <w:r w:rsidRPr="00FC6997">
        <w:rPr>
          <w:rFonts w:asciiTheme="majorBidi" w:hAnsiTheme="majorBidi" w:cstheme="majorBidi"/>
        </w:rPr>
        <w:t>201675&amp;p_tloc=&amp;</w:t>
      </w:r>
      <w:proofErr w:type="spellStart"/>
      <w:r w:rsidRPr="00FC6997">
        <w:rPr>
          <w:rFonts w:asciiTheme="majorBidi" w:hAnsiTheme="majorBidi" w:cstheme="majorBidi"/>
        </w:rPr>
        <w:t>p_ploc</w:t>
      </w:r>
      <w:proofErr w:type="spellEnd"/>
      <w:r w:rsidRPr="00FC6997">
        <w:rPr>
          <w:rFonts w:asciiTheme="majorBidi" w:hAnsiTheme="majorBidi" w:cstheme="majorBidi"/>
        </w:rPr>
        <w:t>=1&amp;pg=35&amp;p_tac=&amp;</w:t>
      </w:r>
      <w:proofErr w:type="spellStart"/>
      <w:r w:rsidRPr="00FC6997">
        <w:rPr>
          <w:rFonts w:asciiTheme="majorBidi" w:hAnsiTheme="majorBidi" w:cstheme="majorBidi"/>
        </w:rPr>
        <w:t>ti</w:t>
      </w:r>
      <w:proofErr w:type="spellEnd"/>
      <w:r w:rsidRPr="00FC6997">
        <w:rPr>
          <w:rFonts w:asciiTheme="majorBidi" w:hAnsiTheme="majorBidi" w:cstheme="majorBidi"/>
        </w:rPr>
        <w:t>=22&amp;pt=30&amp;ch=681&amp;rl=41</w:t>
      </w:r>
    </w:p>
    <w:p w14:paraId="1E90549A" w14:textId="77777777" w:rsidR="00FC6997" w:rsidRDefault="00FC6997" w:rsidP="00FC6997">
      <w:pPr>
        <w:spacing w:line="480" w:lineRule="auto"/>
        <w:rPr>
          <w:rFonts w:asciiTheme="majorBidi" w:hAnsiTheme="majorBidi" w:cstheme="majorBidi"/>
        </w:rPr>
      </w:pPr>
      <w:r>
        <w:rPr>
          <w:rFonts w:asciiTheme="majorBidi" w:hAnsiTheme="majorBidi" w:cstheme="majorBidi"/>
        </w:rPr>
        <w:t xml:space="preserve">Texas Civil Practice and Remedies Code </w:t>
      </w:r>
      <w:r w:rsidRPr="00FC6997">
        <w:rPr>
          <w:rFonts w:asciiTheme="majorBidi" w:hAnsiTheme="majorBidi" w:cstheme="majorBidi"/>
        </w:rPr>
        <w:t>§</w:t>
      </w:r>
      <w:r>
        <w:rPr>
          <w:rFonts w:asciiTheme="majorBidi" w:hAnsiTheme="majorBidi" w:cstheme="majorBidi"/>
        </w:rPr>
        <w:t xml:space="preserve"> 81 (2011). </w:t>
      </w:r>
    </w:p>
    <w:p w14:paraId="0054E6D2" w14:textId="4DBB1E90" w:rsidR="00FC6997" w:rsidRDefault="00FC6997" w:rsidP="00FC6997">
      <w:pPr>
        <w:spacing w:line="480" w:lineRule="auto"/>
        <w:ind w:firstLine="720"/>
        <w:rPr>
          <w:rFonts w:asciiTheme="majorBidi" w:hAnsiTheme="majorBidi" w:cstheme="majorBidi"/>
        </w:rPr>
      </w:pPr>
      <w:r w:rsidRPr="00FC6997">
        <w:rPr>
          <w:rFonts w:asciiTheme="majorBidi" w:hAnsiTheme="majorBidi" w:cstheme="majorBidi"/>
        </w:rPr>
        <w:t>https://statutes.capitol.texas.gov/Docs/CP/htm/CP.81.htm</w:t>
      </w:r>
    </w:p>
    <w:p w14:paraId="02F2F402" w14:textId="175A1494" w:rsidR="00FC6997" w:rsidRPr="00FC6997" w:rsidRDefault="00FC6997" w:rsidP="00FC6997">
      <w:pPr>
        <w:spacing w:before="100" w:beforeAutospacing="1" w:after="100" w:afterAutospacing="1" w:line="480" w:lineRule="auto"/>
      </w:pPr>
      <w:r w:rsidRPr="00FC6997">
        <w:t>Texas Family Code</w:t>
      </w:r>
      <w:r>
        <w:t xml:space="preserve"> </w:t>
      </w:r>
      <w:r w:rsidRPr="00FC6997">
        <w:t>§ 261</w:t>
      </w:r>
      <w:r>
        <w:t xml:space="preserve">. (2021). </w:t>
      </w:r>
      <w:r w:rsidRPr="00FC6997">
        <w:t>https://statutes.capitol.texas.gov/docs/fa/htm/fa.261.htm</w:t>
      </w:r>
    </w:p>
    <w:p w14:paraId="7CB0E8BE" w14:textId="77777777" w:rsidR="00FC6997" w:rsidRDefault="00FC6997" w:rsidP="00FC6997">
      <w:pPr>
        <w:spacing w:line="480" w:lineRule="auto"/>
        <w:rPr>
          <w:rFonts w:asciiTheme="majorBidi" w:hAnsiTheme="majorBidi" w:cstheme="majorBidi"/>
        </w:rPr>
      </w:pPr>
      <w:r>
        <w:rPr>
          <w:rFonts w:asciiTheme="majorBidi" w:hAnsiTheme="majorBidi" w:cstheme="majorBidi"/>
        </w:rPr>
        <w:t xml:space="preserve">Texas Health and Safety Code </w:t>
      </w:r>
      <w:r w:rsidRPr="00FC6997">
        <w:rPr>
          <w:rFonts w:asciiTheme="majorBidi" w:hAnsiTheme="majorBidi" w:cstheme="majorBidi"/>
        </w:rPr>
        <w:t>§</w:t>
      </w:r>
      <w:r>
        <w:rPr>
          <w:rFonts w:asciiTheme="majorBidi" w:hAnsiTheme="majorBidi" w:cstheme="majorBidi"/>
        </w:rPr>
        <w:t xml:space="preserve"> 161. (2021). </w:t>
      </w:r>
    </w:p>
    <w:p w14:paraId="687A444A" w14:textId="7C9A145E" w:rsidR="0057333D" w:rsidRDefault="0057333D" w:rsidP="0057333D">
      <w:pPr>
        <w:spacing w:line="480" w:lineRule="auto"/>
        <w:ind w:firstLine="720"/>
        <w:rPr>
          <w:rFonts w:asciiTheme="majorBidi" w:hAnsiTheme="majorBidi" w:cstheme="majorBidi"/>
        </w:rPr>
      </w:pPr>
      <w:hyperlink r:id="rId8" w:history="1">
        <w:r w:rsidRPr="00882102">
          <w:rPr>
            <w:rStyle w:val="Hyperlink"/>
            <w:rFonts w:asciiTheme="majorBidi" w:hAnsiTheme="majorBidi" w:cstheme="majorBidi"/>
          </w:rPr>
          <w:t>https://statutes.capitol</w:t>
        </w:r>
        <w:r w:rsidRPr="00882102">
          <w:rPr>
            <w:rStyle w:val="Hyperlink"/>
            <w:rFonts w:asciiTheme="majorBidi" w:hAnsiTheme="majorBidi" w:cstheme="majorBidi"/>
          </w:rPr>
          <w:t>.</w:t>
        </w:r>
        <w:r w:rsidRPr="00882102">
          <w:rPr>
            <w:rStyle w:val="Hyperlink"/>
            <w:rFonts w:asciiTheme="majorBidi" w:hAnsiTheme="majorBidi" w:cstheme="majorBidi"/>
          </w:rPr>
          <w:t>texas.gov/Docs/HS/htm/HS.161.htm</w:t>
        </w:r>
      </w:hyperlink>
    </w:p>
    <w:p w14:paraId="2D5A139F" w14:textId="05666C6C" w:rsidR="00FC6997" w:rsidRDefault="00FC6997" w:rsidP="00FC6997">
      <w:pPr>
        <w:spacing w:line="480" w:lineRule="auto"/>
        <w:rPr>
          <w:rFonts w:asciiTheme="majorBidi" w:hAnsiTheme="majorBidi" w:cstheme="majorBidi"/>
        </w:rPr>
      </w:pPr>
      <w:r>
        <w:rPr>
          <w:rFonts w:asciiTheme="majorBidi" w:hAnsiTheme="majorBidi" w:cstheme="majorBidi"/>
        </w:rPr>
        <w:t>Texas Health and Safety Code</w:t>
      </w:r>
      <w:r w:rsidRPr="00FC6997">
        <w:rPr>
          <w:rFonts w:asciiTheme="majorBidi" w:hAnsiTheme="majorBidi" w:cstheme="majorBidi"/>
        </w:rPr>
        <w:t xml:space="preserve"> § 611</w:t>
      </w:r>
      <w:r>
        <w:rPr>
          <w:rFonts w:asciiTheme="majorBidi" w:hAnsiTheme="majorBidi" w:cstheme="majorBidi"/>
        </w:rPr>
        <w:t>. (2021).</w:t>
      </w:r>
    </w:p>
    <w:p w14:paraId="7E0B4295" w14:textId="5B6F2486" w:rsidR="00FC6997" w:rsidRDefault="00FC6997" w:rsidP="00FC6997">
      <w:pPr>
        <w:spacing w:line="480" w:lineRule="auto"/>
        <w:ind w:firstLine="720"/>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w:instrText>
      </w:r>
      <w:r w:rsidRPr="00FC6997">
        <w:rPr>
          <w:rFonts w:asciiTheme="majorBidi" w:hAnsiTheme="majorBidi" w:cstheme="majorBidi"/>
        </w:rPr>
        <w:instrText>https://statutes.capitol.texas.gov/Docs/HS/htm/HS.611.htm</w:instrText>
      </w:r>
      <w:r>
        <w:rPr>
          <w:rFonts w:asciiTheme="majorBidi" w:hAnsiTheme="majorBidi" w:cstheme="majorBidi"/>
        </w:rPr>
        <w:instrText xml:space="preserve">" </w:instrText>
      </w:r>
      <w:r>
        <w:rPr>
          <w:rFonts w:asciiTheme="majorBidi" w:hAnsiTheme="majorBidi" w:cstheme="majorBidi"/>
        </w:rPr>
        <w:fldChar w:fldCharType="separate"/>
      </w:r>
      <w:r w:rsidRPr="00882102">
        <w:rPr>
          <w:rStyle w:val="Hyperlink"/>
          <w:rFonts w:asciiTheme="majorBidi" w:hAnsiTheme="majorBidi" w:cstheme="majorBidi"/>
        </w:rPr>
        <w:t>https://statutes.capitol.texas.gov/Docs/HS/htm/</w:t>
      </w:r>
      <w:r w:rsidRPr="00882102">
        <w:rPr>
          <w:rStyle w:val="Hyperlink"/>
          <w:rFonts w:asciiTheme="majorBidi" w:hAnsiTheme="majorBidi" w:cstheme="majorBidi"/>
        </w:rPr>
        <w:t>H</w:t>
      </w:r>
      <w:r w:rsidRPr="00882102">
        <w:rPr>
          <w:rStyle w:val="Hyperlink"/>
          <w:rFonts w:asciiTheme="majorBidi" w:hAnsiTheme="majorBidi" w:cstheme="majorBidi"/>
        </w:rPr>
        <w:t>S.611.htm</w:t>
      </w:r>
      <w:r>
        <w:rPr>
          <w:rFonts w:asciiTheme="majorBidi" w:hAnsiTheme="majorBidi" w:cstheme="majorBidi"/>
        </w:rPr>
        <w:fldChar w:fldCharType="end"/>
      </w:r>
    </w:p>
    <w:p w14:paraId="7532FF25" w14:textId="77777777" w:rsidR="00FC6997" w:rsidRDefault="00FC6997" w:rsidP="00FC6997">
      <w:pPr>
        <w:spacing w:line="480" w:lineRule="auto"/>
        <w:rPr>
          <w:rFonts w:asciiTheme="majorBidi" w:hAnsiTheme="majorBidi" w:cstheme="majorBidi"/>
        </w:rPr>
      </w:pPr>
      <w:r>
        <w:rPr>
          <w:rFonts w:asciiTheme="majorBidi" w:hAnsiTheme="majorBidi" w:cstheme="majorBidi"/>
        </w:rPr>
        <w:t xml:space="preserve">Texas Human Resources Code </w:t>
      </w:r>
      <w:r w:rsidRPr="00FC6997">
        <w:rPr>
          <w:rFonts w:asciiTheme="majorBidi" w:hAnsiTheme="majorBidi" w:cstheme="majorBidi"/>
        </w:rPr>
        <w:t>§</w:t>
      </w:r>
      <w:r>
        <w:rPr>
          <w:rFonts w:asciiTheme="majorBidi" w:hAnsiTheme="majorBidi" w:cstheme="majorBidi"/>
        </w:rPr>
        <w:t xml:space="preserve"> 48. (2021). </w:t>
      </w:r>
    </w:p>
    <w:p w14:paraId="31776E88" w14:textId="079CB8F0" w:rsidR="00FC6997" w:rsidRDefault="00FC6997" w:rsidP="00FC6997">
      <w:pPr>
        <w:spacing w:line="480" w:lineRule="auto"/>
        <w:ind w:firstLine="720"/>
        <w:rPr>
          <w:rFonts w:asciiTheme="majorBidi" w:hAnsiTheme="majorBidi" w:cstheme="majorBidi"/>
        </w:rPr>
      </w:pPr>
      <w:hyperlink r:id="rId9" w:history="1">
        <w:r w:rsidRPr="00882102">
          <w:rPr>
            <w:rStyle w:val="Hyperlink"/>
            <w:rFonts w:asciiTheme="majorBidi" w:hAnsiTheme="majorBidi" w:cstheme="majorBidi"/>
          </w:rPr>
          <w:t>https://statutes.capitol.texas.gov/Docs/HR/htm/HR.48.htm</w:t>
        </w:r>
      </w:hyperlink>
    </w:p>
    <w:p w14:paraId="1292225B" w14:textId="6298276D" w:rsidR="00FC6997" w:rsidRDefault="00FC6997" w:rsidP="00FC6997">
      <w:pPr>
        <w:spacing w:line="480" w:lineRule="auto"/>
        <w:rPr>
          <w:rFonts w:asciiTheme="majorBidi" w:hAnsiTheme="majorBidi" w:cstheme="majorBidi"/>
        </w:rPr>
      </w:pPr>
      <w:r>
        <w:rPr>
          <w:rFonts w:asciiTheme="majorBidi" w:hAnsiTheme="majorBidi" w:cstheme="majorBidi"/>
        </w:rPr>
        <w:t xml:space="preserve">Texas Occupations Code </w:t>
      </w:r>
      <w:r w:rsidRPr="00FC6997">
        <w:rPr>
          <w:rFonts w:asciiTheme="majorBidi" w:hAnsiTheme="majorBidi" w:cstheme="majorBidi"/>
        </w:rPr>
        <w:t>§</w:t>
      </w:r>
      <w:r>
        <w:rPr>
          <w:rFonts w:asciiTheme="majorBidi" w:hAnsiTheme="majorBidi" w:cstheme="majorBidi"/>
        </w:rPr>
        <w:t xml:space="preserve"> 109. (2019).</w:t>
      </w:r>
    </w:p>
    <w:p w14:paraId="022D58B8" w14:textId="07515554" w:rsidR="00FC6997" w:rsidRDefault="00FC6997" w:rsidP="00FC6997">
      <w:pPr>
        <w:spacing w:line="480" w:lineRule="auto"/>
        <w:rPr>
          <w:rFonts w:asciiTheme="majorBidi" w:hAnsiTheme="majorBidi" w:cstheme="majorBidi"/>
        </w:rPr>
      </w:pPr>
      <w:r>
        <w:rPr>
          <w:rFonts w:asciiTheme="majorBidi" w:hAnsiTheme="majorBidi" w:cstheme="majorBidi"/>
        </w:rPr>
        <w:lastRenderedPageBreak/>
        <w:tab/>
      </w:r>
      <w:hyperlink r:id="rId10" w:history="1">
        <w:r w:rsidRPr="00882102">
          <w:rPr>
            <w:rStyle w:val="Hyperlink"/>
            <w:rFonts w:asciiTheme="majorBidi" w:hAnsiTheme="majorBidi" w:cstheme="majorBidi"/>
          </w:rPr>
          <w:t>https://statutes.capitol.texas.gov/Docs/OC/htm/OC.109.htm</w:t>
        </w:r>
      </w:hyperlink>
    </w:p>
    <w:p w14:paraId="0807B338" w14:textId="2A733021" w:rsidR="00B21430" w:rsidRDefault="00FC6997" w:rsidP="00B21430">
      <w:pPr>
        <w:spacing w:line="480" w:lineRule="auto"/>
        <w:rPr>
          <w:rFonts w:asciiTheme="majorBidi" w:hAnsiTheme="majorBidi" w:cstheme="majorBidi"/>
          <w:lang w:val="nl-NL"/>
        </w:rPr>
      </w:pPr>
      <w:r w:rsidRPr="00FC6997">
        <w:rPr>
          <w:rFonts w:asciiTheme="majorBidi" w:hAnsiTheme="majorBidi" w:cstheme="majorBidi"/>
        </w:rPr>
        <w:t xml:space="preserve">Thapar v. </w:t>
      </w:r>
      <w:proofErr w:type="spellStart"/>
      <w:r w:rsidRPr="00FC6997">
        <w:rPr>
          <w:rFonts w:asciiTheme="majorBidi" w:hAnsiTheme="majorBidi" w:cstheme="majorBidi"/>
        </w:rPr>
        <w:t>Zezulka</w:t>
      </w:r>
      <w:proofErr w:type="spellEnd"/>
      <w:r w:rsidRPr="00FC6997">
        <w:rPr>
          <w:rFonts w:asciiTheme="majorBidi" w:hAnsiTheme="majorBidi" w:cstheme="majorBidi"/>
        </w:rPr>
        <w:t>, 994 S.W.2d 635 (Tex. 1999)</w:t>
      </w:r>
      <w:r>
        <w:rPr>
          <w:rFonts w:asciiTheme="majorBidi" w:hAnsiTheme="majorBidi" w:cstheme="majorBidi"/>
        </w:rPr>
        <w:t xml:space="preserve">. </w:t>
      </w:r>
      <w:hyperlink r:id="rId11" w:history="1">
        <w:r w:rsidRPr="00B21430">
          <w:rPr>
            <w:rStyle w:val="Hyperlink"/>
            <w:rFonts w:asciiTheme="majorBidi" w:hAnsiTheme="majorBidi" w:cstheme="majorBidi"/>
            <w:lang w:val="nl-NL"/>
          </w:rPr>
          <w:t>https://casetext.com/case/thapar-v-zezulka</w:t>
        </w:r>
      </w:hyperlink>
    </w:p>
    <w:p w14:paraId="616CDDFD" w14:textId="288D29C0" w:rsidR="00B21430" w:rsidRDefault="00FC6997" w:rsidP="00B21430">
      <w:pPr>
        <w:spacing w:line="480" w:lineRule="auto"/>
        <w:rPr>
          <w:rFonts w:asciiTheme="majorBidi" w:hAnsiTheme="majorBidi" w:cstheme="majorBidi"/>
        </w:rPr>
      </w:pPr>
      <w:proofErr w:type="spellStart"/>
      <w:r w:rsidRPr="00FC6997">
        <w:rPr>
          <w:rFonts w:asciiTheme="majorBidi" w:hAnsiTheme="majorBidi" w:cstheme="majorBidi"/>
          <w:lang w:val="sv-SE"/>
        </w:rPr>
        <w:t>Zezulka</w:t>
      </w:r>
      <w:proofErr w:type="spellEnd"/>
      <w:r w:rsidRPr="00FC6997">
        <w:rPr>
          <w:rFonts w:asciiTheme="majorBidi" w:hAnsiTheme="majorBidi" w:cstheme="majorBidi"/>
          <w:lang w:val="sv-SE"/>
        </w:rPr>
        <w:t xml:space="preserve"> v. </w:t>
      </w:r>
      <w:proofErr w:type="spellStart"/>
      <w:r w:rsidRPr="00FC6997">
        <w:rPr>
          <w:rFonts w:asciiTheme="majorBidi" w:hAnsiTheme="majorBidi" w:cstheme="majorBidi"/>
          <w:lang w:val="sv-SE"/>
        </w:rPr>
        <w:t>Thapar</w:t>
      </w:r>
      <w:proofErr w:type="spellEnd"/>
      <w:r w:rsidRPr="00FC6997">
        <w:rPr>
          <w:rFonts w:asciiTheme="majorBidi" w:hAnsiTheme="majorBidi" w:cstheme="majorBidi"/>
          <w:lang w:val="sv-SE"/>
        </w:rPr>
        <w:t>,</w:t>
      </w:r>
      <w:r w:rsidRPr="00FC6997">
        <w:rPr>
          <w:rFonts w:asciiTheme="majorBidi" w:hAnsiTheme="majorBidi" w:cstheme="majorBidi"/>
          <w:lang w:val="sv-SE"/>
        </w:rPr>
        <w:t xml:space="preserve"> 961 S.W.2d 506</w:t>
      </w:r>
      <w:r w:rsidRPr="00FC6997">
        <w:rPr>
          <w:rFonts w:asciiTheme="majorBidi" w:hAnsiTheme="majorBidi" w:cstheme="majorBidi"/>
          <w:lang w:val="sv-SE"/>
        </w:rPr>
        <w:t>.</w:t>
      </w:r>
      <w:r w:rsidRPr="00FC6997">
        <w:rPr>
          <w:rFonts w:asciiTheme="majorBidi" w:hAnsiTheme="majorBidi" w:cstheme="majorBidi"/>
          <w:lang w:val="sv-SE"/>
        </w:rPr>
        <w:t xml:space="preserve"> </w:t>
      </w:r>
      <w:r w:rsidRPr="00FC6997">
        <w:rPr>
          <w:rFonts w:asciiTheme="majorBidi" w:hAnsiTheme="majorBidi" w:cstheme="majorBidi"/>
        </w:rPr>
        <w:t>(Tex. App. 1997)</w:t>
      </w:r>
      <w:r>
        <w:rPr>
          <w:rFonts w:asciiTheme="majorBidi" w:hAnsiTheme="majorBidi" w:cstheme="majorBidi"/>
        </w:rPr>
        <w:t>.</w:t>
      </w:r>
    </w:p>
    <w:p w14:paraId="06439C80" w14:textId="0703A862" w:rsidR="00E219D7" w:rsidRPr="00860B19" w:rsidRDefault="001951B5" w:rsidP="00860B19">
      <w:pPr>
        <w:spacing w:line="480" w:lineRule="auto"/>
        <w:ind w:firstLine="720"/>
        <w:rPr>
          <w:rFonts w:asciiTheme="majorBidi" w:hAnsiTheme="majorBidi" w:cstheme="majorBidi"/>
        </w:rPr>
      </w:pPr>
      <w:hyperlink r:id="rId12" w:history="1">
        <w:r w:rsidRPr="00882102">
          <w:rPr>
            <w:rStyle w:val="Hyperlink"/>
            <w:rFonts w:asciiTheme="majorBidi" w:hAnsiTheme="majorBidi" w:cstheme="majorBidi"/>
          </w:rPr>
          <w:t>https://casetext.com/case/zezulka-v-thapar</w:t>
        </w:r>
      </w:hyperlink>
    </w:p>
    <w:sectPr w:rsidR="00E219D7" w:rsidRPr="00860B19" w:rsidSect="00F060CA">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739A" w14:textId="77777777" w:rsidR="00783ECA" w:rsidRDefault="00783ECA" w:rsidP="00FC6997">
      <w:r>
        <w:separator/>
      </w:r>
    </w:p>
  </w:endnote>
  <w:endnote w:type="continuationSeparator" w:id="0">
    <w:p w14:paraId="001A75FE" w14:textId="77777777" w:rsidR="00783ECA" w:rsidRDefault="00783ECA" w:rsidP="00FC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A920" w14:textId="77777777" w:rsidR="00783ECA" w:rsidRDefault="00783ECA" w:rsidP="00FC6997">
      <w:r>
        <w:separator/>
      </w:r>
    </w:p>
  </w:footnote>
  <w:footnote w:type="continuationSeparator" w:id="0">
    <w:p w14:paraId="6CB53207" w14:textId="77777777" w:rsidR="00783ECA" w:rsidRDefault="00783ECA" w:rsidP="00FC6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7142999"/>
      <w:docPartObj>
        <w:docPartGallery w:val="Page Numbers (Top of Page)"/>
        <w:docPartUnique/>
      </w:docPartObj>
    </w:sdtPr>
    <w:sdtContent>
      <w:p w14:paraId="37C5AEB6" w14:textId="77FC8CD9" w:rsidR="00FC6997" w:rsidRDefault="00FC6997" w:rsidP="008821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FA415" w14:textId="77777777" w:rsidR="00FC6997" w:rsidRDefault="00FC6997" w:rsidP="00FC69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0754971"/>
      <w:docPartObj>
        <w:docPartGallery w:val="Page Numbers (Top of Page)"/>
        <w:docPartUnique/>
      </w:docPartObj>
    </w:sdtPr>
    <w:sdtContent>
      <w:p w14:paraId="68FA1A38" w14:textId="34033694" w:rsidR="00FC6997" w:rsidRDefault="00FC6997" w:rsidP="008821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E526DF" w14:textId="048D2E1D" w:rsidR="00FC6997" w:rsidRDefault="00FC6997" w:rsidP="00FC6997">
    <w:pPr>
      <w:pStyle w:val="Header"/>
      <w:ind w:right="360"/>
    </w:pPr>
    <w:r>
      <w:t>CONFIDENTIALITY AND DUTY TO REPORT IN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46B"/>
    <w:multiLevelType w:val="multilevel"/>
    <w:tmpl w:val="FA3A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97"/>
    <w:rsid w:val="001951B5"/>
    <w:rsid w:val="00231536"/>
    <w:rsid w:val="003268C7"/>
    <w:rsid w:val="003F6B69"/>
    <w:rsid w:val="0057333D"/>
    <w:rsid w:val="005B4025"/>
    <w:rsid w:val="00627C3F"/>
    <w:rsid w:val="006B6BD1"/>
    <w:rsid w:val="006D7A3A"/>
    <w:rsid w:val="00752296"/>
    <w:rsid w:val="00783ECA"/>
    <w:rsid w:val="00806406"/>
    <w:rsid w:val="00807EAC"/>
    <w:rsid w:val="00815FB7"/>
    <w:rsid w:val="00860B19"/>
    <w:rsid w:val="00A8677D"/>
    <w:rsid w:val="00AC05AD"/>
    <w:rsid w:val="00AE6435"/>
    <w:rsid w:val="00B21430"/>
    <w:rsid w:val="00B51A2D"/>
    <w:rsid w:val="00B66604"/>
    <w:rsid w:val="00B92DB2"/>
    <w:rsid w:val="00CA39E1"/>
    <w:rsid w:val="00DB795F"/>
    <w:rsid w:val="00E219D7"/>
    <w:rsid w:val="00E74A86"/>
    <w:rsid w:val="00EF5371"/>
    <w:rsid w:val="00F060CA"/>
    <w:rsid w:val="00F7055A"/>
    <w:rsid w:val="00FC69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F05E33"/>
  <w15:chartTrackingRefBased/>
  <w15:docId w15:val="{9F45A613-B466-1240-8EE5-FCD56690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9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997"/>
    <w:pPr>
      <w:spacing w:before="100" w:beforeAutospacing="1" w:after="100" w:afterAutospacing="1"/>
    </w:pPr>
  </w:style>
  <w:style w:type="character" w:styleId="Strong">
    <w:name w:val="Strong"/>
    <w:basedOn w:val="DefaultParagraphFont"/>
    <w:uiPriority w:val="22"/>
    <w:qFormat/>
    <w:rsid w:val="00FC6997"/>
    <w:rPr>
      <w:b/>
      <w:bCs/>
    </w:rPr>
  </w:style>
  <w:style w:type="character" w:styleId="Emphasis">
    <w:name w:val="Emphasis"/>
    <w:basedOn w:val="DefaultParagraphFont"/>
    <w:uiPriority w:val="20"/>
    <w:qFormat/>
    <w:rsid w:val="00FC6997"/>
    <w:rPr>
      <w:i/>
      <w:iCs/>
    </w:rPr>
  </w:style>
  <w:style w:type="paragraph" w:styleId="Header">
    <w:name w:val="header"/>
    <w:basedOn w:val="Normal"/>
    <w:link w:val="HeaderChar"/>
    <w:uiPriority w:val="99"/>
    <w:unhideWhenUsed/>
    <w:rsid w:val="00FC6997"/>
    <w:pPr>
      <w:tabs>
        <w:tab w:val="center" w:pos="4680"/>
        <w:tab w:val="right" w:pos="9360"/>
      </w:tabs>
    </w:pPr>
  </w:style>
  <w:style w:type="character" w:customStyle="1" w:styleId="HeaderChar">
    <w:name w:val="Header Char"/>
    <w:basedOn w:val="DefaultParagraphFont"/>
    <w:link w:val="Header"/>
    <w:uiPriority w:val="99"/>
    <w:rsid w:val="00FC6997"/>
  </w:style>
  <w:style w:type="paragraph" w:styleId="Footer">
    <w:name w:val="footer"/>
    <w:basedOn w:val="Normal"/>
    <w:link w:val="FooterChar"/>
    <w:uiPriority w:val="99"/>
    <w:unhideWhenUsed/>
    <w:rsid w:val="00FC6997"/>
    <w:pPr>
      <w:tabs>
        <w:tab w:val="center" w:pos="4680"/>
        <w:tab w:val="right" w:pos="9360"/>
      </w:tabs>
    </w:pPr>
  </w:style>
  <w:style w:type="character" w:customStyle="1" w:styleId="FooterChar">
    <w:name w:val="Footer Char"/>
    <w:basedOn w:val="DefaultParagraphFont"/>
    <w:link w:val="Footer"/>
    <w:uiPriority w:val="99"/>
    <w:rsid w:val="00FC6997"/>
  </w:style>
  <w:style w:type="character" w:styleId="PageNumber">
    <w:name w:val="page number"/>
    <w:basedOn w:val="DefaultParagraphFont"/>
    <w:uiPriority w:val="99"/>
    <w:semiHidden/>
    <w:unhideWhenUsed/>
    <w:rsid w:val="00FC6997"/>
  </w:style>
  <w:style w:type="character" w:styleId="Hyperlink">
    <w:name w:val="Hyperlink"/>
    <w:basedOn w:val="DefaultParagraphFont"/>
    <w:uiPriority w:val="99"/>
    <w:unhideWhenUsed/>
    <w:rsid w:val="00FC6997"/>
    <w:rPr>
      <w:color w:val="0563C1" w:themeColor="hyperlink"/>
      <w:u w:val="single"/>
    </w:rPr>
  </w:style>
  <w:style w:type="character" w:styleId="UnresolvedMention">
    <w:name w:val="Unresolved Mention"/>
    <w:basedOn w:val="DefaultParagraphFont"/>
    <w:uiPriority w:val="99"/>
    <w:semiHidden/>
    <w:unhideWhenUsed/>
    <w:rsid w:val="00FC6997"/>
    <w:rPr>
      <w:color w:val="605E5C"/>
      <w:shd w:val="clear" w:color="auto" w:fill="E1DFDD"/>
    </w:rPr>
  </w:style>
  <w:style w:type="character" w:styleId="FollowedHyperlink">
    <w:name w:val="FollowedHyperlink"/>
    <w:basedOn w:val="DefaultParagraphFont"/>
    <w:uiPriority w:val="99"/>
    <w:semiHidden/>
    <w:unhideWhenUsed/>
    <w:rsid w:val="00FC6997"/>
    <w:rPr>
      <w:color w:val="954F72" w:themeColor="followedHyperlink"/>
      <w:u w:val="single"/>
    </w:rPr>
  </w:style>
  <w:style w:type="character" w:customStyle="1" w:styleId="serif">
    <w:name w:val="serif"/>
    <w:basedOn w:val="DefaultParagraphFont"/>
    <w:rsid w:val="00FC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454">
      <w:bodyDiv w:val="1"/>
      <w:marLeft w:val="0"/>
      <w:marRight w:val="0"/>
      <w:marTop w:val="0"/>
      <w:marBottom w:val="0"/>
      <w:divBdr>
        <w:top w:val="none" w:sz="0" w:space="0" w:color="auto"/>
        <w:left w:val="none" w:sz="0" w:space="0" w:color="auto"/>
        <w:bottom w:val="none" w:sz="0" w:space="0" w:color="auto"/>
        <w:right w:val="none" w:sz="0" w:space="0" w:color="auto"/>
      </w:divBdr>
    </w:div>
    <w:div w:id="242419377">
      <w:bodyDiv w:val="1"/>
      <w:marLeft w:val="0"/>
      <w:marRight w:val="0"/>
      <w:marTop w:val="0"/>
      <w:marBottom w:val="0"/>
      <w:divBdr>
        <w:top w:val="none" w:sz="0" w:space="0" w:color="auto"/>
        <w:left w:val="none" w:sz="0" w:space="0" w:color="auto"/>
        <w:bottom w:val="none" w:sz="0" w:space="0" w:color="auto"/>
        <w:right w:val="none" w:sz="0" w:space="0" w:color="auto"/>
      </w:divBdr>
    </w:div>
    <w:div w:id="472872116">
      <w:bodyDiv w:val="1"/>
      <w:marLeft w:val="0"/>
      <w:marRight w:val="0"/>
      <w:marTop w:val="0"/>
      <w:marBottom w:val="0"/>
      <w:divBdr>
        <w:top w:val="none" w:sz="0" w:space="0" w:color="auto"/>
        <w:left w:val="none" w:sz="0" w:space="0" w:color="auto"/>
        <w:bottom w:val="none" w:sz="0" w:space="0" w:color="auto"/>
        <w:right w:val="none" w:sz="0" w:space="0" w:color="auto"/>
      </w:divBdr>
    </w:div>
    <w:div w:id="737172566">
      <w:bodyDiv w:val="1"/>
      <w:marLeft w:val="0"/>
      <w:marRight w:val="0"/>
      <w:marTop w:val="0"/>
      <w:marBottom w:val="0"/>
      <w:divBdr>
        <w:top w:val="none" w:sz="0" w:space="0" w:color="auto"/>
        <w:left w:val="none" w:sz="0" w:space="0" w:color="auto"/>
        <w:bottom w:val="none" w:sz="0" w:space="0" w:color="auto"/>
        <w:right w:val="none" w:sz="0" w:space="0" w:color="auto"/>
      </w:divBdr>
    </w:div>
    <w:div w:id="907763299">
      <w:bodyDiv w:val="1"/>
      <w:marLeft w:val="0"/>
      <w:marRight w:val="0"/>
      <w:marTop w:val="0"/>
      <w:marBottom w:val="0"/>
      <w:divBdr>
        <w:top w:val="none" w:sz="0" w:space="0" w:color="auto"/>
        <w:left w:val="none" w:sz="0" w:space="0" w:color="auto"/>
        <w:bottom w:val="none" w:sz="0" w:space="0" w:color="auto"/>
        <w:right w:val="none" w:sz="0" w:space="0" w:color="auto"/>
      </w:divBdr>
    </w:div>
    <w:div w:id="1072774420">
      <w:bodyDiv w:val="1"/>
      <w:marLeft w:val="0"/>
      <w:marRight w:val="0"/>
      <w:marTop w:val="0"/>
      <w:marBottom w:val="0"/>
      <w:divBdr>
        <w:top w:val="none" w:sz="0" w:space="0" w:color="auto"/>
        <w:left w:val="none" w:sz="0" w:space="0" w:color="auto"/>
        <w:bottom w:val="none" w:sz="0" w:space="0" w:color="auto"/>
        <w:right w:val="none" w:sz="0" w:space="0" w:color="auto"/>
      </w:divBdr>
    </w:div>
    <w:div w:id="1128862655">
      <w:bodyDiv w:val="1"/>
      <w:marLeft w:val="0"/>
      <w:marRight w:val="0"/>
      <w:marTop w:val="0"/>
      <w:marBottom w:val="0"/>
      <w:divBdr>
        <w:top w:val="none" w:sz="0" w:space="0" w:color="auto"/>
        <w:left w:val="none" w:sz="0" w:space="0" w:color="auto"/>
        <w:bottom w:val="none" w:sz="0" w:space="0" w:color="auto"/>
        <w:right w:val="none" w:sz="0" w:space="0" w:color="auto"/>
      </w:divBdr>
    </w:div>
    <w:div w:id="1178081016">
      <w:bodyDiv w:val="1"/>
      <w:marLeft w:val="0"/>
      <w:marRight w:val="0"/>
      <w:marTop w:val="0"/>
      <w:marBottom w:val="0"/>
      <w:divBdr>
        <w:top w:val="none" w:sz="0" w:space="0" w:color="auto"/>
        <w:left w:val="none" w:sz="0" w:space="0" w:color="auto"/>
        <w:bottom w:val="none" w:sz="0" w:space="0" w:color="auto"/>
        <w:right w:val="none" w:sz="0" w:space="0" w:color="auto"/>
      </w:divBdr>
    </w:div>
    <w:div w:id="1532843388">
      <w:bodyDiv w:val="1"/>
      <w:marLeft w:val="0"/>
      <w:marRight w:val="0"/>
      <w:marTop w:val="0"/>
      <w:marBottom w:val="0"/>
      <w:divBdr>
        <w:top w:val="none" w:sz="0" w:space="0" w:color="auto"/>
        <w:left w:val="none" w:sz="0" w:space="0" w:color="auto"/>
        <w:bottom w:val="none" w:sz="0" w:space="0" w:color="auto"/>
        <w:right w:val="none" w:sz="0" w:space="0" w:color="auto"/>
      </w:divBdr>
    </w:div>
    <w:div w:id="1545169685">
      <w:bodyDiv w:val="1"/>
      <w:marLeft w:val="0"/>
      <w:marRight w:val="0"/>
      <w:marTop w:val="0"/>
      <w:marBottom w:val="0"/>
      <w:divBdr>
        <w:top w:val="none" w:sz="0" w:space="0" w:color="auto"/>
        <w:left w:val="none" w:sz="0" w:space="0" w:color="auto"/>
        <w:bottom w:val="none" w:sz="0" w:space="0" w:color="auto"/>
        <w:right w:val="none" w:sz="0" w:space="0" w:color="auto"/>
      </w:divBdr>
    </w:div>
    <w:div w:id="1704477961">
      <w:bodyDiv w:val="1"/>
      <w:marLeft w:val="0"/>
      <w:marRight w:val="0"/>
      <w:marTop w:val="0"/>
      <w:marBottom w:val="0"/>
      <w:divBdr>
        <w:top w:val="none" w:sz="0" w:space="0" w:color="auto"/>
        <w:left w:val="none" w:sz="0" w:space="0" w:color="auto"/>
        <w:bottom w:val="none" w:sz="0" w:space="0" w:color="auto"/>
        <w:right w:val="none" w:sz="0" w:space="0" w:color="auto"/>
      </w:divBdr>
    </w:div>
    <w:div w:id="1712874551">
      <w:bodyDiv w:val="1"/>
      <w:marLeft w:val="0"/>
      <w:marRight w:val="0"/>
      <w:marTop w:val="0"/>
      <w:marBottom w:val="0"/>
      <w:divBdr>
        <w:top w:val="none" w:sz="0" w:space="0" w:color="auto"/>
        <w:left w:val="none" w:sz="0" w:space="0" w:color="auto"/>
        <w:bottom w:val="none" w:sz="0" w:space="0" w:color="auto"/>
        <w:right w:val="none" w:sz="0" w:space="0" w:color="auto"/>
      </w:divBdr>
    </w:div>
    <w:div w:id="21062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HS/htm/HS.161.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setext.com/case/kerrville-state-hosp-v-clark" TargetMode="External"/><Relationship Id="rId12" Type="http://schemas.openxmlformats.org/officeDocument/2006/relationships/hyperlink" Target="https://casetext.com/case/zezulka-v-thap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text.com/case/thapar-v-zezulk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tutes.capitol.texas.gov/Docs/OC/htm/OC.109.htm" TargetMode="External"/><Relationship Id="rId4" Type="http://schemas.openxmlformats.org/officeDocument/2006/relationships/webSettings" Target="webSettings.xml"/><Relationship Id="rId9" Type="http://schemas.openxmlformats.org/officeDocument/2006/relationships/hyperlink" Target="https://statutes.capitol.texas.gov/Docs/HR/htm/HR.48.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9</Pages>
  <Words>1977</Words>
  <Characters>11192</Characters>
  <Application>Microsoft Office Word</Application>
  <DocSecurity>0</DocSecurity>
  <Lines>279</Lines>
  <Paragraphs>118</Paragraphs>
  <ScaleCrop>false</ScaleCrop>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Germany</dc:creator>
  <cp:keywords/>
  <dc:description/>
  <cp:lastModifiedBy>Michael Germany</cp:lastModifiedBy>
  <cp:revision>30</cp:revision>
  <dcterms:created xsi:type="dcterms:W3CDTF">2021-10-29T00:47:00Z</dcterms:created>
  <dcterms:modified xsi:type="dcterms:W3CDTF">2021-11-01T03:28:00Z</dcterms:modified>
</cp:coreProperties>
</file>